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3.png" ContentType="image/png"/>
  <Override PartName="/word/media/rId39.png" ContentType="image/png"/>
  <Override PartName="/word/media/rId13.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probability</w:t>
        </w:r>
      </w:hyperlink>
      <w:r>
        <w:rPr>
          <w:i/>
          <w:iCs/>
        </w:rPr>
        <w:t xml:space="preserve">,</w:t>
      </w:r>
      <w:r>
        <w:rPr>
          <w:i/>
          <w:iCs/>
        </w:rPr>
        <w:t xml:space="preserve"> </w:t>
      </w:r>
      <w:hyperlink r:id="rId10">
        <w:r>
          <w:rPr>
            <w:rStyle w:val="Hyperlink"/>
            <w:i/>
            <w:iCs/>
          </w:rPr>
          <w:t xml:space="preserve">Guide: Expected value, variance, standard deviation</w:t>
        </w:r>
      </w:hyperlink>
      <w:r>
        <w:rPr>
          <w:i/>
          <w:iCs/>
        </w:rPr>
        <w:t xml:space="preserve">, and</w:t>
      </w:r>
      <w:r>
        <w:rPr>
          <w:i/>
          <w:iCs/>
        </w:rPr>
        <w:t xml:space="preserve"> </w:t>
      </w:r>
      <w:hyperlink r:id="rId11">
        <w:r>
          <w:rPr>
            <w:rStyle w:val="Hyperlink"/>
            <w:i/>
            <w:iCs/>
          </w:rPr>
          <w:t xml:space="preserve">Guide: PMFs, PDFs, CDFs</w:t>
        </w:r>
      </w:hyperlink>
      <w:r>
        <w:rPr>
          <w:i/>
          <w:iCs/>
        </w:rPr>
        <w:t xml:space="preserve">.</w:t>
      </w:r>
    </w:p>
    <w:bookmarkStart w:id="12"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12"/>
    <w:bookmarkStart w:id="25"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10">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25"/>
    <w:bookmarkStart w:id="26"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26"/>
    <w:bookmarkStart w:id="31"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r>
          <m:rPr>
            <m:sty m:val="p"/>
          </m:rPr>
          <m:t>(</m:t>
        </m:r>
        <m:r>
          <m:t>5</m:t>
        </m:r>
        <m:r>
          <m:rPr>
            <m:sty m:val="p"/>
          </m:rPr>
          <m:t>%</m:t>
        </m:r>
        <m:r>
          <m:rPr>
            <m:sty m:val="p"/>
          </m:rPr>
          <m:t>)</m:t>
        </m:r>
      </m:oMath>
      <w:r>
        <w:t xml:space="preserve">,</w:t>
      </w:r>
      <w:r>
        <w:t xml:space="preserve"> </w:t>
      </w:r>
      <m:oMath>
        <m:r>
          <m:t>0.01</m:t>
        </m:r>
      </m:oMath>
      <w:r>
        <w:t xml:space="preserve"> </w:t>
      </w:r>
      <m:oMath>
        <m:r>
          <m:rPr>
            <m:sty m:val="p"/>
          </m:rPr>
          <m:t>(</m:t>
        </m:r>
        <m:r>
          <m:t>1</m:t>
        </m:r>
        <m:r>
          <m:rPr>
            <m:sty m:val="p"/>
          </m:rPr>
          <m:t>%</m:t>
        </m:r>
        <m:r>
          <m:rPr>
            <m:sty m:val="p"/>
          </m:rPr>
          <m:t>)</m:t>
        </m:r>
      </m:oMath>
      <w:r>
        <w:t xml:space="preserve"> </w:t>
      </w:r>
      <w:r>
        <w:t xml:space="preserve">or</w:t>
      </w:r>
      <w:r>
        <w:t xml:space="preserve"> </w:t>
      </w:r>
      <m:oMath>
        <m:r>
          <m:t>0.10</m:t>
        </m:r>
      </m:oMath>
      <w:r>
        <w:t xml:space="preserve"> </w:t>
      </w:r>
      <m:oMath>
        <m:r>
          <m:rPr>
            <m:sty m:val="p"/>
          </m:rPr>
          <m:t>(</m:t>
        </m:r>
        <m:r>
          <m:t>10</m:t>
        </m:r>
        <m:r>
          <m:rPr>
            <m:sty m:val="p"/>
          </m:rPr>
          <m:t>%</m:t>
        </m:r>
        <m:r>
          <m:rPr>
            <m:sty m:val="p"/>
          </m:rPr>
          <m:t>)</m:t>
        </m:r>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31"/>
    <w:bookmarkStart w:id="51"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11">
        <w:r>
          <w:rPr>
            <w:rStyle w:val="Hyperlink"/>
          </w:rPr>
          <w:t xml:space="preserve">Guide: PMFs, PDFs, CDFs</w:t>
        </w:r>
      </w:hyperlink>
      <w:r>
        <w:t xml:space="preserve"> </w:t>
      </w:r>
      <w:r>
        <w:t xml:space="preserve">and</w:t>
      </w:r>
      <w:r>
        <w:t xml:space="preserve"> </w:t>
      </w:r>
      <w:hyperlink r:id="rId32">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r>
          <m:rPr>
            <m:sty m:val="p"/>
          </m:rPr>
          <m:t>(</m:t>
        </m:r>
        <m:r>
          <m:t>x</m:t>
        </m:r>
        <m:r>
          <m:rPr>
            <m:sty m:val="p"/>
          </m:rPr>
          <m:t>)</m:t>
        </m:r>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r>
          <m:rPr>
            <m:sty m:val="p"/>
          </m:rPr>
          <m:t>(</m:t>
        </m:r>
        <m:r>
          <m:t>x</m:t>
        </m:r>
        <m:r>
          <m:rPr>
            <m:sty m:val="p"/>
          </m:rPr>
          <m:t>)</m:t>
        </m:r>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r>
          <m:rPr>
            <m:sty m:val="p"/>
          </m:rPr>
          <m:t>(</m:t>
        </m:r>
        <m:r>
          <m:t>x</m:t>
        </m:r>
        <m:r>
          <m:rPr>
            <m:sty m:val="p"/>
          </m:rPr>
          <m:t>)</m:t>
        </m:r>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r>
          <m:rPr>
            <m:sty m:val="p"/>
          </m:rPr>
          <m:t>(</m:t>
        </m:r>
        <m:r>
          <m:t>x</m:t>
        </m:r>
        <m:r>
          <m:rPr>
            <m:sty m:val="p"/>
          </m:rPr>
          <m:t>)</m:t>
        </m:r>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r>
            <m:rPr>
              <m:sty m:val="p"/>
            </m:rPr>
            <m:t>(</m:t>
          </m:r>
          <m:r>
            <m:t>x</m:t>
          </m:r>
          <m:r>
            <m:rPr>
              <m:sty m:val="p"/>
            </m:rPr>
            <m:t>)</m:t>
          </m:r>
          <m:r>
            <m:t> </m:t>
          </m:r>
          <m:r>
            <m:rPr>
              <m:nor/>
              <m:sty m:val="p"/>
            </m:rPr>
            <m:t>d</m:t>
          </m:r>
          <m:r>
            <m:t>x</m:t>
          </m:r>
          <m:r>
            <m:rPr>
              <m:sty m:val="p"/>
            </m:rPr>
            <m:t>=</m:t>
          </m:r>
          <m:f>
            <m:fPr>
              <m:type m:val="bar"/>
            </m:fPr>
            <m:num>
              <m:r>
                <m:t>α</m:t>
              </m:r>
            </m:num>
            <m:den>
              <m:r>
                <m:t>2</m:t>
              </m:r>
            </m:den>
          </m:f>
          <m:r>
            <m:t> </m:t>
          </m:r>
          <m:r>
            <m:rPr>
              <m:nor/>
              <m:scr m:val="sans-serif"/>
              <m:sty m:val="p"/>
            </m:rPr>
            <m:t>and</m:t>
          </m:r>
          <m:r>
            <m:t> </m:t>
          </m:r>
          <m:nary>
            <m:naryPr>
              <m:chr m:val="∫"/>
              <m:limLoc m:val="subSup"/>
              <m:subHide m:val="off"/>
              <m:supHide m:val="off"/>
            </m:naryPr>
            <m:sub>
              <m:sSub>
                <m:e>
                  <m:r>
                    <m:t>z</m:t>
                  </m:r>
                </m:e>
                <m:sub>
                  <m:r>
                    <m:t>2</m:t>
                  </m:r>
                </m:sub>
              </m:sSub>
            </m:sub>
            <m:sup>
              <m:r>
                <m:rPr>
                  <m:sty m:val="p"/>
                </m:rPr>
                <m:t>∞</m:t>
              </m:r>
            </m:sup>
            <m:e>
              <m:r>
                <m:t>f</m:t>
              </m:r>
            </m:e>
          </m:nary>
          <m:r>
            <m:rPr>
              <m:sty m:val="p"/>
            </m:rPr>
            <m:t>(</m:t>
          </m:r>
          <m:r>
            <m:t>x</m:t>
          </m:r>
          <m:r>
            <m:rPr>
              <m:sty m:val="p"/>
            </m:rPr>
            <m:t>)</m:t>
          </m:r>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1"/>
          <w:p>
            <w:pPr>
              <w:pStyle w:val="Compact"/>
              <w:jc w:val="center"/>
            </w:pPr>
            <w:r>
              <w:drawing>
                <wp:inline>
                  <wp:extent cx="5755521" cy="2186608"/>
                  <wp:effectExtent b="0" l="0" r="0" t="0"/>
                  <wp:docPr descr="" title="" id="40" name="Picture"/>
                  <a:graphic>
                    <a:graphicData uri="http://schemas.openxmlformats.org/drawingml/2006/picture">
                      <pic:pic>
                        <pic:nvPicPr>
                          <pic:cNvPr descr="./FiguresPNG/hypothesistesting-fig3-3.png" id="41" name="Picture"/>
                          <pic:cNvPicPr>
                            <a:picLocks noChangeArrowheads="1" noChangeAspect="1"/>
                          </pic:cNvPicPr>
                        </pic:nvPicPr>
                        <pic:blipFill>
                          <a:blip r:embed="rId39"/>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186608"/>
                  <wp:effectExtent b="0" l="0" r="0" t="0"/>
                  <wp:docPr descr="" title="" id="44" name="Picture"/>
                  <a:graphic>
                    <a:graphicData uri="http://schemas.openxmlformats.org/drawingml/2006/picture">
                      <pic:pic>
                        <pic:nvPicPr>
                          <pic:cNvPr descr="./FiguresPNG/hypothesistesting-fig2-2.png" id="45" name="Picture"/>
                          <pic:cNvPicPr>
                            <a:picLocks noChangeArrowheads="1" noChangeAspect="1"/>
                          </pic:cNvPicPr>
                        </pic:nvPicPr>
                        <pic:blipFill>
                          <a:blip r:embed="rId43"/>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186608"/>
                  <wp:effectExtent b="0" l="0" r="0" t="0"/>
                  <wp:docPr descr="" title="" id="48" name="Picture"/>
                  <a:graphic>
                    <a:graphicData uri="http://schemas.openxmlformats.org/drawingml/2006/picture">
                      <pic:pic>
                        <pic:nvPicPr>
                          <pic:cNvPr descr="./FiguresPNG/hypothesistesting-fig1-1.png" id="49" name="Picture"/>
                          <pic:cNvPicPr>
                            <a:picLocks noChangeArrowheads="1" noChangeAspect="1"/>
                          </pic:cNvPicPr>
                        </pic:nvPicPr>
                        <pic:blipFill>
                          <a:blip r:embed="rId47"/>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50"/>
        </w:tc>
      </w:tr>
    </w:tbl>
    <w:bookmarkEnd w:id="51"/>
    <w:bookmarkStart w:id="60"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59">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60"/>
    <w:bookmarkStart w:id="61"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61"/>
    <w:bookmarkStart w:id="65" w:name="further-reading"/>
    <w:p>
      <w:pPr>
        <w:pStyle w:val="Heading1"/>
      </w:pPr>
      <w:r>
        <w:t xml:space="preserve">Further reading</w:t>
      </w:r>
    </w:p>
    <w:p>
      <w:pPr>
        <w:pStyle w:val="FirstParagraph"/>
      </w:pPr>
      <w:hyperlink r:id="rId62">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64"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Compact"/>
        <w:numPr>
          <w:ilvl w:val="0"/>
          <w:numId w:val="1017"/>
        </w:numPr>
      </w:pPr>
      <w:r>
        <w:t xml:space="preserve">v1.1: deprecated shinylive apps replaced 09/26 by tdhc.</w:t>
      </w:r>
    </w:p>
    <w:p>
      <w:pPr>
        <w:pStyle w:val="FirstParagraph"/>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59" Target="../apps/calculators/c-ztesting.qmd" TargetMode="External" /><Relationship Type="http://schemas.openxmlformats.org/officeDocument/2006/relationships/hyperlink" Id="rId32" Target="../overviews/o-distributions.qmd" TargetMode="External" /><Relationship Type="http://schemas.openxmlformats.org/officeDocument/2006/relationships/hyperlink" Id="rId62" Target="../questions/qs-hypothesistesting.qmd" TargetMode="External" /><Relationship Type="http://schemas.openxmlformats.org/officeDocument/2006/relationships/hyperlink" Id="rId10" Target="expectedvarianc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9" Target="introtoprobability.qmd" TargetMode="External" /><Relationship Type="http://schemas.openxmlformats.org/officeDocument/2006/relationships/hyperlink" Id="rId11"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59" Target="../apps/calculators/c-ztesting.qmd" TargetMode="External" /><Relationship Type="http://schemas.openxmlformats.org/officeDocument/2006/relationships/hyperlink" Id="rId32" Target="../overviews/o-distributions.qmd" TargetMode="External" /><Relationship Type="http://schemas.openxmlformats.org/officeDocument/2006/relationships/hyperlink" Id="rId62" Target="../questions/qs-hypothesistesting.qmd" TargetMode="External" /><Relationship Type="http://schemas.openxmlformats.org/officeDocument/2006/relationships/hyperlink" Id="rId10" Target="expectedvarianc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9" Target="introtoprobability.qmd" TargetMode="External" /><Relationship Type="http://schemas.openxmlformats.org/officeDocument/2006/relationships/hyperlink" Id="rId11"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2026-09-07T13:17:43Z</dcterms:created>
  <dcterms:modified xsi:type="dcterms:W3CDTF">2026-09-07T13:17:43Z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FiguresPNG/hypothesistesting-image.png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