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on matrices.</w:t>
      </w:r>
    </w:p>
    <w:p>
      <w:pPr>
        <w:pStyle w:val="FirstParagraph"/>
      </w:pPr>
      <w:r>
        <w:t xml:space="preserve">These are the answers to [Questions: Introduction to matrices].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q1"/>
    <w:p>
      <w:pPr>
        <w:pStyle w:val="Heading1"/>
      </w:pPr>
      <w:r>
        <w:t xml:space="preserve">Q1</w:t>
      </w:r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f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b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c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E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G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numPr>
          <w:ilvl w:val="0"/>
          <w:numId w:val="1002"/>
        </w:numPr>
      </w:pPr>
      <m:oMath>
        <m:r>
          <m:t> 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L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K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L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2025-12-01T15:44:01Z</dcterms:created>
  <dcterms:modified xsi:type="dcterms:W3CDTF">2025-12-01T15:44:01Z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