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1"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d>
          <m:dPr>
            <m:begChr m:val="("/>
            <m:sepChr m:val=""/>
            <m:endChr m:val=")"/>
            <m:grow/>
          </m:dPr>
          <m:e>
            <m:r>
              <m:t>x</m:t>
            </m:r>
          </m:e>
        </m:d>
        <m:r>
          <m:rPr>
            <m:sty m:val="p"/>
          </m:rPr>
          <m:t>+</m:t>
        </m:r>
        <m:r>
          <m:t>4</m:t>
        </m:r>
        <m:r>
          <m:rPr>
            <m:sty m:val="p"/>
          </m:rPr>
          <m:t>cos</m:t>
        </m:r>
        <m:d>
          <m:dPr>
            <m:begChr m:val="("/>
            <m:sepChr m:val=""/>
            <m:endChr m:val=")"/>
            <m:grow/>
          </m:dPr>
          <m:e>
            <m:r>
              <m:t>x</m:t>
            </m:r>
          </m:e>
        </m:d>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21"/>
    <w:bookmarkStart w:id="22"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d>
          <m:dPr>
            <m:begChr m:val="("/>
            <m:sepChr m:val=""/>
            <m:endChr m:val=")"/>
            <m:grow/>
          </m:dPr>
          <m:e>
            <m:r>
              <m:t>x</m:t>
            </m:r>
          </m:e>
        </m:d>
        <m:r>
          <m:rPr>
            <m:sty m:val="p"/>
          </m:rPr>
          <m:t>,</m:t>
        </m:r>
        <m:r>
          <m:rPr>
            <m:sty m:val="p"/>
          </m:rPr>
          <m:t>sin</m:t>
        </m:r>
        <m:d>
          <m:dPr>
            <m:begChr m:val="("/>
            <m:sepChr m:val=""/>
            <m:endChr m:val=")"/>
            <m:grow/>
          </m:dPr>
          <m:e>
            <m:r>
              <m:t>x</m:t>
            </m:r>
          </m:e>
        </m:d>
        <m:r>
          <m:rPr>
            <m:sty m:val="p"/>
          </m:rPr>
          <m:t>&lt;</m:t>
        </m:r>
        <m:r>
          <m:t>1</m:t>
        </m:r>
      </m:oMath>
      <w:r>
        <w:t xml:space="preserve">. In addition, you may also use the facts that if</w:t>
      </w:r>
      <w:r>
        <w:t xml:space="preserve"> </w:t>
      </w:r>
      <m:oMath>
        <m:r>
          <m:rPr>
            <m:sty m:val="p"/>
          </m:rPr>
          <m:t>cos</m:t>
        </m:r>
        <m:d>
          <m:dPr>
            <m:begChr m:val="("/>
            <m:sepChr m:val=""/>
            <m:endChr m:val=")"/>
            <m:grow/>
          </m:dPr>
          <m:e>
            <m:r>
              <m:t>x</m:t>
            </m:r>
          </m:e>
        </m:d>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d>
          <m:dPr>
            <m:begChr m:val="("/>
            <m:sepChr m:val=""/>
            <m:endChr m:val=")"/>
            <m:grow/>
          </m:dPr>
          <m:e>
            <m:r>
              <m:t>y</m:t>
            </m:r>
          </m:e>
        </m:d>
      </m:oMath>
      <w:r>
        <w:t xml:space="preserve">.</w:t>
      </w:r>
    </w:p>
    <w:bookmarkEnd w:id="22"/>
    <w:bookmarkStart w:id="24"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d>
          <m:dPr>
            <m:begChr m:val="("/>
            <m:sepChr m:val=""/>
            <m:endChr m:val=")"/>
            <m:grow/>
          </m:dPr>
          <m:e>
            <m:r>
              <m:t>y</m:t>
            </m:r>
            <m:r>
              <m:rPr>
                <m:sty m:val="p"/>
              </m:rPr>
              <m:t>−</m:t>
            </m:r>
            <m:r>
              <m:t>1</m:t>
            </m:r>
          </m:e>
        </m:d>
        <m:d>
          <m:dPr>
            <m:begChr m:val="("/>
            <m:sepChr m:val=""/>
            <m:endChr m:val=")"/>
            <m:grow/>
          </m:dPr>
          <m:e>
            <m:r>
              <m:t>y</m:t>
            </m:r>
            <m:r>
              <m:rPr>
                <m:sty m:val="p"/>
              </m:rPr>
              <m:t>−</m:t>
            </m:r>
            <m:r>
              <m:t>4</m:t>
            </m:r>
          </m:e>
        </m:d>
        <m:r>
          <m:rPr>
            <m:sty m:val="p"/>
          </m:rPr>
          <m:t>=</m:t>
        </m:r>
        <m:r>
          <m:rPr>
            <m:sty m:val="p"/>
          </m:rPr>
          <m:t>−</m:t>
        </m:r>
        <m:d>
          <m:dPr>
            <m:begChr m:val="("/>
            <m:sepChr m:val=""/>
            <m:endChr m:val=")"/>
            <m:grow/>
          </m:dPr>
          <m:e>
            <m:r>
              <m:t>y</m:t>
            </m:r>
            <m:r>
              <m:rPr>
                <m:sty m:val="p"/>
              </m:rPr>
              <m:t>+</m:t>
            </m:r>
            <m:r>
              <m:t>2</m:t>
            </m:r>
          </m:e>
        </m:d>
        <m:d>
          <m:dPr>
            <m:begChr m:val="("/>
            <m:sepChr m:val=""/>
            <m:endChr m:val=")"/>
            <m:grow/>
          </m:dPr>
          <m:e>
            <m:r>
              <m:t>y</m:t>
            </m:r>
            <m:r>
              <m:rPr>
                <m:sty m:val="p"/>
              </m:rPr>
              <m:t>+</m:t>
            </m:r>
            <m:r>
              <m:t>3</m:t>
            </m:r>
          </m:e>
        </m:d>
      </m:oMath>
      <w:r>
        <w:t xml:space="preserve">.</w:t>
      </w:r>
    </w:p>
    <w:p>
      <w:pPr>
        <w:pStyle w:val="BodyText"/>
      </w:pPr>
      <w:r>
        <w:t xml:space="preserve">3.3.</w:t>
      </w:r>
      <w:r>
        <w:t xml:space="preserve"> </w:t>
      </w:r>
      <m:oMath>
        <m:r>
          <m:t> </m:t>
        </m:r>
        <m:r>
          <m:t>4</m:t>
        </m:r>
        <m:r>
          <m:t>m</m:t>
        </m:r>
        <m:d>
          <m:dPr>
            <m:begChr m:val="("/>
            <m:sepChr m:val=""/>
            <m:endChr m:val=")"/>
            <m:grow/>
          </m:dPr>
          <m:e>
            <m:r>
              <m:t>m</m:t>
            </m:r>
            <m:r>
              <m:rPr>
                <m:sty m:val="p"/>
              </m:rPr>
              <m:t>+</m:t>
            </m:r>
            <m:r>
              <m:t>1</m:t>
            </m:r>
          </m:e>
        </m:d>
        <m:r>
          <m:rPr>
            <m:sty m:val="p"/>
          </m:rPr>
          <m:t>+</m:t>
        </m:r>
        <m:r>
          <m:t>6</m:t>
        </m:r>
        <m:r>
          <m:rPr>
            <m:sty m:val="p"/>
          </m:rPr>
          <m:t>=</m:t>
        </m:r>
        <m:r>
          <m:t>5</m:t>
        </m:r>
      </m:oMath>
      <w:r>
        <w:t xml:space="preserve">.</w:t>
      </w:r>
    </w:p>
    <w:p>
      <w:pPr>
        <w:pStyle w:val="BodyText"/>
      </w:pPr>
      <w:r>
        <w:t xml:space="preserve">3.4.</w:t>
      </w:r>
      <w:r>
        <w:t xml:space="preserve"> </w:t>
      </w:r>
      <m:oMath>
        <m:r>
          <m:t> </m:t>
        </m:r>
        <m:d>
          <m:dPr>
            <m:begChr m:val="("/>
            <m:sepChr m:val=""/>
            <m:endChr m:val=")"/>
            <m:grow/>
          </m:dPr>
          <m:e>
            <m:sSup>
              <m:e>
                <m:r>
                  <m:t>t</m:t>
                </m:r>
              </m:e>
              <m:sup>
                <m:r>
                  <m:t>2</m:t>
                </m:r>
              </m:sup>
            </m:sSup>
            <m:r>
              <m:rPr>
                <m:sty m:val="p"/>
              </m:rPr>
              <m:t>−</m:t>
            </m:r>
            <m:r>
              <m:t>1</m:t>
            </m:r>
          </m:e>
        </m:d>
        <m:d>
          <m:dPr>
            <m:begChr m:val="("/>
            <m:sepChr m:val=""/>
            <m:endChr m:val=")"/>
            <m:grow/>
          </m:dPr>
          <m:e>
            <m:sSup>
              <m:e>
                <m:r>
                  <m:t>t</m:t>
                </m:r>
              </m:e>
              <m:sup>
                <m:r>
                  <m:t>2</m:t>
                </m:r>
              </m:sup>
            </m:sSup>
            <m:r>
              <m:rPr>
                <m:sty m:val="p"/>
              </m:rPr>
              <m:t>+</m:t>
            </m:r>
            <m:r>
              <m:t>1</m:t>
            </m:r>
          </m:e>
        </m:d>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introtoquadratics.qmd" TargetMode="External" /><Relationship Type="http://schemas.openxmlformats.org/officeDocument/2006/relationships/hyperlink" Id="rId20" Target="../studyguides/introtoquadratic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2025-12-01T15:58:33Z</dcterms:created>
  <dcterms:modified xsi:type="dcterms:W3CDTF">2025-12-01T15:58:33Z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