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Cardinalities of Infinite Power Sets</w:t>
      </w:r>
    </w:p>
    <w:p>
      <w:pPr>
        <w:pStyle w:val="Author"/>
      </w:pPr>
      <w:r>
        <w:t xml:space="preserve">Holly Goldsmith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proof sheet demonstrates the relationship between the cardinalities of infinite sets and their power sets.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set theory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Introduction to functions</w:t>
        </w:r>
      </w:hyperlink>
      <w:r>
        <w:rPr>
          <w:i/>
          <w:iCs/>
        </w:rPr>
        <w:t xml:space="preserve">, as bijections will feature heavily in this proof.</w:t>
      </w:r>
    </w:p>
    <w:p>
      <w:pPr>
        <w:pStyle w:val="BodyText"/>
      </w:pPr>
      <w:r>
        <w:t xml:space="preserve">The cardinality of power sets of infinite sets is difficult to define. Rather than providing concrete values for common infinite power sets, this proof sheet seeks to establish a key relationship between infinite power sets and the sets they come from.</w:t>
      </w:r>
    </w:p>
    <w:bookmarkStart w:id="32" w:name="goal-for-a-set-a-a-mathcalpa"/>
    <w:p>
      <w:pPr>
        <w:pStyle w:val="Heading3"/>
      </w:pPr>
      <w:r>
        <w:t xml:space="preserve">GOAL: For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rPr>
            <m:sty m:val="p"/>
          </m:rPr>
          <m:t>&lt;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  <m:scr m:val="script"/>
              </m:rPr>
              <m:t>P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Reminder: The definition of a power set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For any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power set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defined as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r>
                  <m:t>X</m:t>
                </m:r>
                <m:r>
                  <m:rPr>
                    <m:sty m:val="p"/>
                  </m:rPr>
                  <m:t>:</m:t>
                </m:r>
                <m:r>
                  <m:t>X</m:t>
                </m:r>
                <m:r>
                  <m:rPr>
                    <m:sty m:val="p"/>
                  </m:rPr>
                  <m:t>⊆</m:t>
                </m:r>
                <m:r>
                  <m:t>A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the set of all subsets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This proof can be done in two steps.</w:t>
      </w:r>
    </w:p>
    <w:bookmarkStart w:id="25" w:name="step-1-a-leq-mathcalpa"/>
    <w:p>
      <w:pPr>
        <w:pStyle w:val="Heading4"/>
      </w:pPr>
      <w:r>
        <w:rPr>
          <w:b/>
          <w:bCs/>
        </w:rPr>
        <w:t xml:space="preserve">Step 1:</w:t>
      </w:r>
      <w:r>
        <w:rPr>
          <w:b/>
          <w:bCs/>
        </w:rP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rPr>
            <m:sty m:val="p"/>
          </m:rPr>
          <m:t>≤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  <m:scr m:val="script"/>
              </m:rPr>
              <m:t>P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</w:p>
    <w:p>
      <w:pPr>
        <w:pStyle w:val="FirstParagraph"/>
      </w:pPr>
      <w:r>
        <w:t xml:space="preserve">This section establishes that the size of a power set cannot be</w:t>
      </w:r>
      <w:r>
        <w:t xml:space="preserve"> </w:t>
      </w:r>
      <w:r>
        <w:rPr>
          <w:b/>
          <w:bCs/>
        </w:rPr>
        <w:t xml:space="preserve">less than</w:t>
      </w:r>
      <w:r>
        <w:t xml:space="preserve"> </w:t>
      </w:r>
      <w:r>
        <w:t xml:space="preserve">the size of the set it was made from. This is proven by considering a specific function:</w:t>
      </w:r>
    </w:p>
    <w:p>
      <w:pPr>
        <w:pStyle w:val="BodyText"/>
      </w:pPr>
      <w:r>
        <w:t xml:space="preserve">Consider a function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}</m:t>
        </m:r>
      </m:oMath>
      <w:r>
        <w:t xml:space="preserve">. This function takes an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transforms it into the set containing only the element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Now, consider two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A</m:t>
        </m:r>
      </m:oMath>
      <w:r>
        <w:t xml:space="preserve">, and assume that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</m:oMath>
      <w:r>
        <w:t xml:space="preserve">.</w:t>
      </w:r>
    </w:p>
    <w:p>
      <w:pPr>
        <w:pStyle w:val="BodyText"/>
      </w:pPr>
      <w:r>
        <w:t xml:space="preserve">This means that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b</m:t>
        </m:r>
        <m:r>
          <m:rPr>
            <m:sty m:val="p"/>
          </m:rPr>
          <m:t>}</m:t>
        </m:r>
      </m:oMath>
      <w:r>
        <w:t xml:space="preserve">. This is only true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since elements of a set must be different for the sets to be different.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</m:oMath>
      <w:r>
        <w:t xml:space="preserve"> </w:t>
      </w:r>
      <w:r>
        <w:t xml:space="preserve">means that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 This means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specific type of function called an</w:t>
      </w:r>
      <w:r>
        <w:t xml:space="preserve"> </w:t>
      </w:r>
      <w:r>
        <w:rPr>
          <w:b/>
          <w:bCs/>
        </w:rPr>
        <w:t xml:space="preserve">injection</w:t>
      </w:r>
      <w:r>
        <w:t xml:space="preserve">. If a function is an injection, then it can’t transform two different elements in its domain (in this case</w:t>
      </w:r>
      <w:r>
        <w:t xml:space="preserve"> </w:t>
      </w:r>
      <m:oMath>
        <m:r>
          <m:t>A</m:t>
        </m:r>
      </m:oMath>
      <w:r>
        <w:t xml:space="preserve">) into the same element in its range (in this case</w:t>
      </w:r>
      <w:r>
        <w:t xml:space="preserve"> </w:t>
      </w:r>
      <m:oMath>
        <m:r>
          <m:rPr>
            <m:sty m:val="p"/>
            <m:scr m:val="script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). This forces the range to be at least as big as the domain, because every element in the domain must transform into a different element in the range!</w:t>
      </w:r>
    </w:p>
    <w:p>
      <w:pPr>
        <w:pStyle w:val="BodyText"/>
      </w:pPr>
      <w:r>
        <w:t xml:space="preserve">As such,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rPr>
            <m:sty m:val="p"/>
          </m:rPr>
          <m:t>≤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  <m:scr m:val="script"/>
              </m:rPr>
              <m:t>P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  <w:r>
        <w:t xml:space="preserve">.</w:t>
      </w:r>
    </w:p>
    <w:bookmarkEnd w:id="25"/>
    <w:bookmarkStart w:id="31" w:name="step-2-mathcalpa-neq-a"/>
    <w:p>
      <w:pPr>
        <w:pStyle w:val="Heading4"/>
      </w:pPr>
      <w:r>
        <w:rPr>
          <w:b/>
          <w:bCs/>
        </w:rPr>
        <w:t xml:space="preserve">Step 2:</w:t>
      </w:r>
      <w:r>
        <w:rPr>
          <w:b/>
          <w:bCs/>
        </w:rP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  <m:scr m:val="script"/>
              </m:rPr>
              <m:t>P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  <m:r>
          <m:rPr>
            <m:sty m:val="p"/>
          </m:rPr>
          <m:t>≠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</m:oMath>
    </w:p>
    <w:p>
      <w:pPr>
        <w:pStyle w:val="FirstParagraph"/>
      </w:pPr>
      <w:r>
        <w:t xml:space="preserve">Now all that is left to do is prove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script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do not have the same cardinality, since, if that is the case, the above step will force the power set to be strictly larger than the set it came from.</w:t>
      </w:r>
    </w:p>
    <w:p>
      <w:pPr>
        <w:pStyle w:val="BodyText"/>
      </w:pPr>
      <w:r>
        <w:t xml:space="preserve">Let’s assume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script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are the same size. That means that there is a bijection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ty m:val="p"/>
            <m:scr m:val="script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that maps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elements of</w:t>
      </w:r>
      <w:r>
        <w:t xml:space="preserve"> </w:t>
      </w:r>
      <m:oMath>
        <m:r>
          <m:rPr>
            <m:sty m:val="p"/>
            <m:scr m:val="script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which are sets.</w:t>
      </w:r>
    </w:p>
    <w:p>
      <w:pPr>
        <w:pStyle w:val="BodyText"/>
      </w:pPr>
      <w:r>
        <w:t xml:space="preserve">Consider another set,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∉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}</m:t>
        </m:r>
      </m:oMath>
      <w:r>
        <w:t xml:space="preserve">. This is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are in the set A, but the bijection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does not map any element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concrete example of an element in</w:t>
            </w:r>
            <w:r>
              <w:t xml:space="preserve"> </w:t>
            </w:r>
            <m:oMath>
              <m:r>
                <m:t>B</m:t>
              </m:r>
            </m:oMath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To visualize this, consider a specific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 The bijection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will take the element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send it to an element of</w:t>
            </w:r>
            <w:r>
              <w:t xml:space="preserve"> </w:t>
            </w:r>
            <m:oMath>
              <m:r>
                <m:rPr>
                  <m:sty m:val="p"/>
                  <m:scr m:val="script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oMath>
            <w:r>
              <w:t xml:space="preserve">. Elements of</w:t>
            </w:r>
            <w:r>
              <w:t xml:space="preserve"> </w:t>
            </w:r>
            <m:oMath>
              <m:r>
                <m:rPr>
                  <m:sty m:val="p"/>
                  <m:scr m:val="script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oMath>
            <w:r>
              <w:t xml:space="preserve"> </w:t>
            </w:r>
            <w:r>
              <w:t xml:space="preserve">are sets, so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a set.</w:t>
            </w:r>
          </w:p>
          <w:p>
            <w:pPr>
              <w:pStyle w:val="BodyText"/>
            </w:pPr>
            <w:pPr>
              <w:spacing w:after="16"/>
            </w:pP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oMath>
            <w:r>
              <w:t xml:space="preserve"> </w:t>
            </w:r>
            <w:r>
              <w:t xml:space="preserve">if the set that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sent to doesn’t contain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 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∈</m:t>
              </m:r>
              <m:r>
                <m:t>B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isn’t in the set that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was mapped to.</w:t>
            </w:r>
          </w:p>
          <w:p/>
        </w:tc>
      </w:tr>
    </w:tbl>
    <w:p>
      <w:pPr>
        <w:pStyle w:val="BodyText"/>
      </w:pPr>
      <w:r>
        <w:t xml:space="preserve">Since every element 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ty m:val="p"/>
            <m:scr m:val="script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bijection,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for some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 This is because every element in the range of a bijection, in this case</w:t>
      </w:r>
      <w:r>
        <w:t xml:space="preserve"> </w:t>
      </w:r>
      <m:oMath>
        <m:r>
          <m:rPr>
            <m:sty m:val="p"/>
            <m:scr m:val="script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must have some element in the domain, in this case</w:t>
      </w:r>
      <w:r>
        <w:t xml:space="preserve"> </w:t>
      </w:r>
      <m:oMath>
        <m:r>
          <m:t>A</m:t>
        </m:r>
      </m:oMath>
      <w:r>
        <w:t xml:space="preserve">, that maps to it.</w:t>
      </w:r>
    </w:p>
    <w:p>
      <w:pPr>
        <w:pStyle w:val="BodyText"/>
      </w:pPr>
      <w:r>
        <w:t xml:space="preserve">But from the definition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only be 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⇔</m:t>
          </m:r>
          <m:r>
            <m:t>a</m:t>
          </m:r>
          <m:r>
            <m:rPr>
              <m:sty m:val="p"/>
            </m:rPr>
            <m:t>∉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r>
            <m:t>B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arrow symbol above,</w:t>
            </w:r>
            <w: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t xml:space="preserve">, is a mathematical symbol that means</w:t>
            </w:r>
            <w:r>
              <w:t xml:space="preserve"> </w:t>
            </w:r>
            <w:r>
              <w:t xml:space="preserve">“if and only if”</w:t>
            </w:r>
            <w:r>
              <w:t xml:space="preserve">. It means that the statement on each side of the arrow implies the other, so they can only be true if the other statement is also true.</w:t>
            </w:r>
          </w:p>
          <w:p/>
        </w:tc>
      </w:tr>
    </w:tbl>
    <w:p>
      <w:pPr>
        <w:pStyle w:val="BodyText"/>
      </w:pPr>
      <w:r>
        <w:t xml:space="preserve">This is a contradiction, because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simultaneously both in and not in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BodyText"/>
      </w:pPr>
      <w:r>
        <w:t xml:space="preserve">This means that there is no bijection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script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  <m:scr m:val="script"/>
              </m:rPr>
              <m:t>P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  <m:r>
          <m:rPr>
            <m:sty m:val="p"/>
          </m:rPr>
          <m:t>≠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Then, since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rPr>
            <m:sty m:val="p"/>
          </m:rPr>
          <m:t>≤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  <m:scr m:val="script"/>
              </m:rPr>
              <m:t>P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rPr>
            <m:sty m:val="p"/>
          </m:rPr>
          <m:t>≠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  <m:scr m:val="script"/>
              </m:rPr>
              <m:t>P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  <w:r>
        <w:t xml:space="preserve">, that must mean that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rPr>
            <m:sty m:val="p"/>
          </m:rPr>
          <m:t>&lt;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  <m:scr m:val="script"/>
              </m:rPr>
              <m:t>P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  <w:r>
        <w:t xml:space="preserve">.</w:t>
      </w:r>
    </w:p>
    <w:bookmarkEnd w:id="31"/>
    <w:bookmarkEnd w:id="32"/>
    <w:bookmarkStart w:id="3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0">
        <w:r>
          <w:rPr>
            <w:rStyle w:val="Hyperlink"/>
          </w:rPr>
          <w:t xml:space="preserve">Click this link to go back to Guide: Introduction to set theory</w:t>
        </w:r>
      </w:hyperlink>
    </w:p>
    <w:bookmarkStart w:id="3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03/26 by Holly Goldsmith as part of a University of St Andrews VIP project.</w:t>
      </w:r>
    </w:p>
    <w:p>
      <w:pPr>
        <w:pStyle w:val="BodyText"/>
      </w:pPr>
      <w:hyperlink r:id="rId33">
        <w:r>
          <w:rPr>
            <w:rStyle w:val="Hyperlink"/>
          </w:rPr>
          <w:t xml:space="preserve">This work is licensed under CC BY-NC-SA 4.0.</w:t>
        </w:r>
      </w:hyperlink>
    </w:p>
    <w:bookmarkEnd w:id="34"/>
    <w:bookmarkEnd w:id="3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8" Target="media/rId28.png" /><Relationship Type="http://schemas.openxmlformats.org/officeDocument/2006/relationships/hyperlink" Id="rId21" Target="../studyguides/introtofunctions.qmd" TargetMode="External" /><Relationship Type="http://schemas.openxmlformats.org/officeDocument/2006/relationships/hyperlink" Id="rId20" Target="../studyguides/introtosettheory.qmd" TargetMode="External" /><Relationship Type="http://schemas.openxmlformats.org/officeDocument/2006/relationships/hyperlink" Id="rId3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studyguides/introtofunctions.qmd" TargetMode="External" /><Relationship Type="http://schemas.openxmlformats.org/officeDocument/2006/relationships/hyperlink" Id="rId20" Target="../studyguides/introtosettheory.qmd" TargetMode="External" /><Relationship Type="http://schemas.openxmlformats.org/officeDocument/2006/relationships/hyperlink" Id="rId3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Cardinalities of Infinite Power Sets</dc:title>
  <dc:creator>Holly Goldsmith</dc:creator>
  <cp:keywords/>
  <dcterms:created xsi:type="dcterms:W3CDTF">2026-06-08T14:56:06Z</dcterms:created>
  <dcterms:modified xsi:type="dcterms:W3CDTF">2026-06-08T14:56:06Z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proof sheet demonstrates the relationship between the cardinalities of infinite sets and their power sets.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