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Further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guide on sigma notation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Further sigma notation</w:t>
        </w:r>
      </w:hyperlink>
      <w:r>
        <w:rPr>
          <w:i/>
          <w:iCs/>
        </w:rPr>
        <w:t xml:space="preserve">.</w:t>
      </w:r>
    </w:p>
    <w:bookmarkStart w:id="2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Simplify the following double sums by writing them as products as sums and applying the properties of sums</w:t>
      </w:r>
    </w:p>
    <w:p>
      <w:pPr>
        <w:pStyle w:val="BodyText"/>
      </w:pPr>
      <w:r>
        <w:t xml:space="preserve">4.1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8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b>
                <m:sup>
                  <m:r>
                    <m:t>6</m:t>
                  </m:r>
                </m:sup>
                <m:e>
                  <m:r>
                    <m:t>3</m:t>
                  </m:r>
                </m:e>
              </m:nary>
            </m:e>
          </m:nary>
          <m:r>
            <m:t>i</m:t>
          </m:r>
          <m:sSup>
            <m:e>
              <m:r>
                <m:t>j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4.2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i</m:t>
                  </m:r>
                </m:e>
              </m:nary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j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</m:d>
        </m:oMath>
      </m:oMathPara>
    </w:p>
    <w:bookmarkEnd w:id="22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the following as double sums in their simplest possible form.</w:t>
      </w:r>
    </w:p>
    <w:p>
      <w:pPr>
        <w:pStyle w:val="BodyText"/>
      </w:pPr>
      <w:r>
        <w:t xml:space="preserve">5.1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81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64</m:t>
              </m:r>
            </m:e>
          </m:d>
        </m:oMath>
      </m:oMathPara>
    </w:p>
    <w:p>
      <w:pPr>
        <w:pStyle w:val="FirstParagraph"/>
      </w:pPr>
      <w:r>
        <w:t xml:space="preserve">5.2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e>
          </m:nary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</m:oMath>
      </m:oMathPara>
    </w:p>
    <w:p>
      <w:pPr>
        <w:pStyle w:val="FirstParagraph"/>
      </w:pPr>
      <w:r>
        <w:t xml:space="preserve">5.3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e>
          </m:nary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5.4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e>
          </m:nary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d>
            </m:e>
          </m:nary>
        </m:oMath>
      </m:oMathPara>
    </w:p>
    <w:bookmarkEnd w:id="23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Simplify the following:</w:t>
      </w:r>
    </w:p>
    <w:p>
      <w:pPr>
        <w:pStyle w:val="BodyText"/>
      </w:pPr>
      <w:r>
        <w:t xml:space="preserve">6.1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</m:oMath>
      </m:oMathPara>
    </w:p>
    <w:p>
      <w:pPr>
        <w:pStyle w:val="FirstParagraph"/>
      </w:pPr>
      <w:r>
        <w:t xml:space="preserve">6.2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d>
        </m:oMath>
      </m:oMathPara>
    </w:p>
    <w:p>
      <w:pPr>
        <w:pStyle w:val="FirstParagraph"/>
      </w:pPr>
      <w:r>
        <w:t xml:space="preserve">6.3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</m:oMath>
      </m:oMathPara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studyguides/furthersigmanotation.qmd" TargetMode="External" /><Relationship Type="http://schemas.openxmlformats.org/officeDocument/2006/relationships/hyperlink" Id="rId20" Target="../studyguides/sigma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studyguides/furthersigmanotation.qmd" TargetMode="External" /><Relationship Type="http://schemas.openxmlformats.org/officeDocument/2006/relationships/hyperlink" Id="rId20" Target="../studyguides/sigma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Further sigma notation</dc:title>
  <dc:creator>Ifan Howells-Baines, Mark Toner</dc:creator>
  <cp:keywords/>
  <dcterms:created xsi:type="dcterms:W3CDTF">2026-06-08T15:00:21Z</dcterms:created>
  <dcterms:modified xsi:type="dcterms:W3CDTF">2026-06-08T15:00:21Z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guide on sigma notation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