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6.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Confidence intervals</w:t>
        </w:r>
      </w:hyperlink>
      <w:r>
        <w:rPr>
          <w:i/>
          <w:iCs/>
        </w:rPr>
        <w:t xml:space="preserve">,</w:t>
      </w:r>
      <w:r>
        <w:rPr>
          <w:i/>
          <w:iCs/>
        </w:rPr>
        <w:t xml:space="preserve"> </w:t>
      </w:r>
      <w:hyperlink r:id="rId22">
        <w:r>
          <w:rPr>
            <w:rStyle w:val="Hyperlink"/>
            <w:i/>
            <w:iCs/>
          </w:rPr>
          <w:t xml:space="preserve">Fact sheet: The F distribution</w:t>
        </w:r>
      </w:hyperlink>
      <w:r>
        <w:rPr>
          <w:i/>
          <w:iCs/>
        </w:rPr>
        <w:t xml:space="preserve">, and</w:t>
      </w:r>
      <w:r>
        <w:rPr>
          <w:i/>
          <w:iCs/>
        </w:rPr>
        <w:t xml:space="preserve"> </w:t>
      </w:r>
      <w:hyperlink r:id="rId23">
        <w:r>
          <w:rPr>
            <w:rStyle w:val="Hyperlink"/>
            <w:i/>
            <w:iCs/>
          </w:rPr>
          <w:t xml:space="preserve">Guide: Introduction to t-testing</w:t>
        </w:r>
      </w:hyperlink>
      <w:r>
        <w:rPr>
          <w:i/>
          <w:iCs/>
        </w:rPr>
        <w:t xml:space="preserve">.</w:t>
      </w:r>
    </w:p>
    <w:bookmarkStart w:id="41"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22">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24">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25"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25"/>
    <w:bookmarkStart w:id="32"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d>
          <m:dPr>
            <m:begChr m:val="("/>
            <m:sepChr m:val=""/>
            <m:endChr m:val=")"/>
            <m:grow/>
          </m:dPr>
          <m:e>
            <m:r>
              <m:t>0.05</m:t>
            </m:r>
            <m:r>
              <m:rPr>
                <m:sty m:val="p"/>
              </m:rPr>
              <m:t>⋅</m:t>
            </m:r>
            <m:r>
              <m:t>6</m:t>
            </m:r>
          </m:e>
        </m:d>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23">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d>
                      <m:dPr>
                        <m:begChr m:val="("/>
                        <m:sepChr m:val=""/>
                        <m:endChr m:val=")"/>
                        <m:grow/>
                      </m:dPr>
                      <m:e>
                        <m:r>
                          <m:t>15</m:t>
                        </m:r>
                        <m:r>
                          <m:rPr>
                            <m:sty m:val="p"/>
                          </m:rPr>
                          <m:t>−</m:t>
                        </m:r>
                        <m:r>
                          <m:t>2</m:t>
                        </m:r>
                      </m:e>
                    </m:d>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d>
                <m:dPr>
                  <m:begChr m:val="("/>
                  <m:sepChr m:val=""/>
                  <m:endChr m:val=")"/>
                  <m:grow/>
                </m:dPr>
                <m:e>
                  <m:r>
                    <m:t>105</m:t>
                  </m:r>
                  <m:r>
                    <m:rPr>
                      <m:sty m:val="p"/>
                    </m:rPr>
                    <m:t>⋅</m:t>
                  </m:r>
                  <m:r>
                    <m:t>0.05</m:t>
                  </m:r>
                </m:e>
              </m:d>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32"/>
    <w:bookmarkStart w:id="38"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36" name="Picture"/>
                  <a:graphic>
                    <a:graphicData uri="http://schemas.openxmlformats.org/drawingml/2006/picture">
                      <pic:pic>
                        <pic:nvPicPr>
                          <pic:cNvPr descr="./FiguresPNG/sugar-flavour-plot.png" id="37" name="Picture"/>
                          <pic:cNvPicPr>
                            <a:picLocks noChangeArrowheads="1" noChangeAspect="1"/>
                          </pic:cNvPicPr>
                        </pic:nvPicPr>
                        <pic:blipFill>
                          <a:blip r:embed="rId35"/>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38"/>
    <w:bookmarkStart w:id="40"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39">
        <w:r>
          <w:rPr>
            <w:rStyle w:val="Hyperlink"/>
          </w:rPr>
          <w:t xml:space="preserve">Guide: Further ANOVAs</w:t>
        </w:r>
      </w:hyperlink>
      <w:r>
        <w:t xml:space="preserve">.</w:t>
      </w:r>
    </w:p>
    <w:bookmarkEnd w:id="40"/>
    <w:bookmarkEnd w:id="41"/>
    <w:bookmarkStart w:id="62"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49"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49"/>
    <w:bookmarkStart w:id="50"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50"/>
    <w:bookmarkStart w:id="53"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sSup>
                <m:e>
                  <m:d>
                    <m:dPr>
                      <m:begChr m:val="("/>
                      <m:sepChr m:val=""/>
                      <m:endChr m:val=")"/>
                      <m:grow/>
                    </m:dPr>
                    <m:e>
                      <m:sSub>
                        <m:e>
                          <m:r>
                            <m:t>x</m:t>
                          </m:r>
                        </m:e>
                        <m:sub>
                          <m:r>
                            <m:t>i</m:t>
                          </m:r>
                        </m:sub>
                      </m:sSub>
                      <m:r>
                        <m:rPr>
                          <m:sty m:val="p"/>
                        </m:rPr>
                        <m:t>−</m:t>
                      </m:r>
                      <m:r>
                        <m:t>x</m:t>
                      </m:r>
                    </m:e>
                  </m:d>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d>
                    <m:dPr>
                      <m:begChr m:val="("/>
                      <m:sepChr m:val=""/>
                      <m:endChr m:val=")"/>
                      <m:grow/>
                    </m:dPr>
                    <m:e>
                      <m:sSub>
                        <m:e>
                          <m:r>
                            <m:t>n</m:t>
                          </m:r>
                        </m:e>
                        <m:sub>
                          <m:r>
                            <m:t>i</m:t>
                          </m:r>
                        </m:sub>
                      </m:sSub>
                      <m:r>
                        <m:rPr>
                          <m:sty m:val="p"/>
                        </m:rPr>
                        <m:t>−</m:t>
                      </m:r>
                      <m:r>
                        <m:t>1</m:t>
                      </m:r>
                    </m:e>
                  </m:d>
                </m:e>
              </m:nary>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53"/>
    <w:bookmarkStart w:id="58"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d>
          <m:dPr>
            <m:begChr m:val="("/>
            <m:sepChr m:val=""/>
            <m:endChr m:val=")"/>
            <m:grow/>
          </m:dPr>
          <m:e>
            <m:r>
              <m:t>n</m:t>
            </m:r>
            <m:r>
              <m:rPr>
                <m:sty m:val="p"/>
              </m:rPr>
              <m:t>−</m:t>
            </m:r>
            <m:r>
              <m:t>k</m:t>
            </m:r>
            <m:r>
              <m:rPr>
                <m:sty m:val="p"/>
              </m:rPr>
              <m:t>,</m:t>
            </m:r>
            <m:r>
              <m:t>k</m:t>
            </m:r>
            <m:r>
              <m:rPr>
                <m:sty m:val="p"/>
              </m:rPr>
              <m:t>−</m:t>
            </m:r>
            <m:r>
              <m:t>1</m:t>
            </m:r>
          </m:e>
        </m:d>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d>
                <m:dPr>
                  <m:begChr m:val="("/>
                  <m:sepChr m:val=""/>
                  <m:endChr m:val=")"/>
                  <m:grow/>
                </m:dPr>
                <m:e>
                  <m:r>
                    <m:t>14</m:t>
                  </m:r>
                  <m:r>
                    <m:rPr>
                      <m:sty m:val="p"/>
                    </m:rPr>
                    <m:t>,</m:t>
                  </m:r>
                  <m:r>
                    <m:t>165</m:t>
                  </m:r>
                </m:e>
              </m:d>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58"/>
    <w:bookmarkStart w:id="61"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61"/>
    <w:bookmarkEnd w:id="62"/>
    <w:bookmarkStart w:id="67"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67"/>
    <w:bookmarkStart w:id="74"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24">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69"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68">
        <w:r>
          <w:rPr>
            <w:rStyle w:val="Hyperlink"/>
          </w:rPr>
          <w:t xml:space="preserve">Factsheet: ANOVA and linear regression</w:t>
        </w:r>
      </w:hyperlink>
    </w:p>
    <w:bookmarkEnd w:id="69"/>
    <w:bookmarkStart w:id="72"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70">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71">
        <w:r>
          <w:rPr>
            <w:rStyle w:val="Hyperlink"/>
          </w:rPr>
          <w:t xml:space="preserve">Non-parametric alternatives to ANOVA</w:t>
        </w:r>
      </w:hyperlink>
      <w:r>
        <w:t xml:space="preserve">.</w:t>
      </w:r>
    </w:p>
    <w:bookmarkEnd w:id="72"/>
    <w:bookmarkStart w:id="73"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39">
        <w:r>
          <w:rPr>
            <w:rStyle w:val="Hyperlink"/>
          </w:rPr>
          <w:t xml:space="preserve">Guide: Further ANOVAs</w:t>
        </w:r>
      </w:hyperlink>
      <w:r>
        <w:t xml:space="preserve">.</w:t>
      </w:r>
    </w:p>
    <w:bookmarkEnd w:id="73"/>
    <w:bookmarkEnd w:id="74"/>
    <w:bookmarkStart w:id="75" w:name="quick-check-problems"/>
    <w:p>
      <w:pPr>
        <w:pStyle w:val="Heading1"/>
      </w:pPr>
      <w:r>
        <w:t xml:space="preserve">Quick check problems</w:t>
      </w:r>
    </w:p>
    <w:bookmarkEnd w:id="75"/>
    <w:bookmarkStart w:id="78" w:name="further-reading"/>
    <w:p>
      <w:pPr>
        <w:pStyle w:val="Heading1"/>
      </w:pPr>
      <w:r>
        <w:t xml:space="preserve">Further reading</w:t>
      </w:r>
    </w:p>
    <w:p>
      <w:pPr>
        <w:pStyle w:val="Compact"/>
        <w:numPr>
          <w:ilvl w:val="0"/>
          <w:numId w:val="1013"/>
        </w:numPr>
      </w:pPr>
      <w:hyperlink r:id="rId76">
        <w:r>
          <w:rPr>
            <w:rStyle w:val="Hyperlink"/>
          </w:rPr>
          <w:t xml:space="preserve">For more questions on the subject, please go to Questions: ANOVA</w:t>
        </w:r>
      </w:hyperlink>
    </w:p>
    <w:p>
      <w:pPr>
        <w:pStyle w:val="Compact"/>
        <w:numPr>
          <w:ilvl w:val="0"/>
          <w:numId w:val="1013"/>
        </w:numPr>
      </w:pPr>
      <w:hyperlink r:id="rId77">
        <w:r>
          <w:rPr>
            <w:rStyle w:val="Hyperlink"/>
          </w:rPr>
          <w:t xml:space="preserve">For more information on other types of ANOVA, please go to Guide: Further ANOVA types</w:t>
        </w:r>
      </w:hyperlink>
    </w:p>
    <w:p>
      <w:pPr>
        <w:pStyle w:val="Compact"/>
        <w:numPr>
          <w:ilvl w:val="0"/>
          <w:numId w:val="1013"/>
        </w:numPr>
      </w:pPr>
      <w:hyperlink r:id="rId71">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68">
        <w:r>
          <w:rPr>
            <w:rStyle w:val="Hyperlink"/>
          </w:rPr>
          <w:t xml:space="preserve">For more information on the use of ANOVA in linear regression, please go to: Factsheet: ANOVA and linear regression</w:t>
        </w:r>
      </w:hyperlink>
    </w:p>
    <w:p>
      <w:pPr>
        <w:pStyle w:val="FirstParagraph"/>
      </w:pPr>
    </w:p>
    <w:bookmarkEnd w:id="78"/>
    <w:bookmarkStart w:id="80"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79">
        <w:r>
          <w:rPr>
            <w:rStyle w:val="Hyperlink"/>
          </w:rPr>
          <w:t xml:space="preserve">This work is licensed under CC BY-NC-SA 4.0.</w:t>
        </w:r>
      </w:hyperlink>
    </w:p>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_rels/footnotes.xml.rels><?xml version="1.0" encoding="UTF-8"?><Relationships xmlns="http://schemas.openxmlformats.org/package/2006/relationships"><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2026-06-08T14:51:20Z</dcterms:created>
  <dcterms:modified xsi:type="dcterms:W3CDTF">2026-06-08T14:51:20Z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