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54.png" ContentType="image/png"/>
  <Override PartName="/word/media/rId50.png" ContentType="image/png"/>
  <Override PartName="/word/media/rId24.png" ContentType="image/png"/>
  <Override PartName="/word/media/rId2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Expected value, variance, standard deviation</w:t>
        </w:r>
      </w:hyperlink>
      <w:r>
        <w:rPr>
          <w:i/>
          <w:iCs/>
        </w:rPr>
        <w:t xml:space="preserve">, and</w:t>
      </w:r>
      <w:r>
        <w:rPr>
          <w:i/>
          <w:iCs/>
        </w:rPr>
        <w:t xml:space="preserve"> </w:t>
      </w:r>
      <w:hyperlink r:id="rId22">
        <w:r>
          <w:rPr>
            <w:rStyle w:val="Hyperlink"/>
            <w:i/>
            <w:iCs/>
          </w:rPr>
          <w:t xml:space="preserve">Guide: PMFs, PDFs, CDFs</w:t>
        </w:r>
      </w:hyperlink>
      <w:r>
        <w:rPr>
          <w:i/>
          <w:iCs/>
        </w:rPr>
        <w:t xml:space="preserve">.</w:t>
      </w:r>
    </w:p>
    <w:bookmarkStart w:id="23"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23"/>
    <w:bookmarkStart w:id="36"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21">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36"/>
    <w:bookmarkStart w:id="37"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37"/>
    <w:bookmarkStart w:id="42"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d>
          <m:dPr>
            <m:begChr m:val="("/>
            <m:sepChr m:val=""/>
            <m:endChr m:val=")"/>
            <m:grow/>
          </m:dPr>
          <m:e>
            <m:r>
              <m:t>5</m:t>
            </m:r>
            <m:r>
              <m:rPr>
                <m:sty m:val="p"/>
              </m:rPr>
              <m:t>%</m:t>
            </m:r>
          </m:e>
        </m:d>
      </m:oMath>
      <w:r>
        <w:t xml:space="preserve">,</w:t>
      </w:r>
      <w:r>
        <w:t xml:space="preserve"> </w:t>
      </w:r>
      <m:oMath>
        <m:r>
          <m:t>0.01</m:t>
        </m:r>
      </m:oMath>
      <w:r>
        <w:t xml:space="preserve"> </w:t>
      </w:r>
      <m:oMath>
        <m:d>
          <m:dPr>
            <m:begChr m:val="("/>
            <m:sepChr m:val=""/>
            <m:endChr m:val=")"/>
            <m:grow/>
          </m:dPr>
          <m:e>
            <m:r>
              <m:t>1</m:t>
            </m:r>
            <m:r>
              <m:rPr>
                <m:sty m:val="p"/>
              </m:rPr>
              <m:t>%</m:t>
            </m:r>
          </m:e>
        </m:d>
      </m:oMath>
      <w:r>
        <w:t xml:space="preserve"> </w:t>
      </w:r>
      <w:r>
        <w:t xml:space="preserve">or</w:t>
      </w:r>
      <w:r>
        <w:t xml:space="preserve"> </w:t>
      </w:r>
      <m:oMath>
        <m:r>
          <m:t>0.10</m:t>
        </m:r>
      </m:oMath>
      <w:r>
        <w:t xml:space="preserve"> </w:t>
      </w:r>
      <m:oMath>
        <m:d>
          <m:dPr>
            <m:begChr m:val="("/>
            <m:sepChr m:val=""/>
            <m:endChr m:val=")"/>
            <m:grow/>
          </m:dPr>
          <m:e>
            <m:r>
              <m:t>10</m:t>
            </m:r>
            <m:r>
              <m:rPr>
                <m:sty m:val="p"/>
              </m:rPr>
              <m:t>%</m:t>
            </m:r>
          </m:e>
        </m:d>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42"/>
    <w:bookmarkStart w:id="62"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22">
        <w:r>
          <w:rPr>
            <w:rStyle w:val="Hyperlink"/>
          </w:rPr>
          <w:t xml:space="preserve">Guide: PMFs, PDFs, CDFs</w:t>
        </w:r>
      </w:hyperlink>
      <w:r>
        <w:t xml:space="preserve"> </w:t>
      </w:r>
      <w:r>
        <w:t xml:space="preserve">and</w:t>
      </w:r>
      <w:r>
        <w:t xml:space="preserve"> </w:t>
      </w:r>
      <w:hyperlink r:id="rId43">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d>
          <m:dPr>
            <m:begChr m:val="("/>
            <m:sepChr m:val=""/>
            <m:endChr m:val=")"/>
            <m:grow/>
          </m:dPr>
          <m:e>
            <m:r>
              <m:t>x</m:t>
            </m:r>
          </m:e>
        </m:d>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d>
          <m:dPr>
            <m:begChr m:val="("/>
            <m:sepChr m:val=""/>
            <m:endChr m:val=")"/>
            <m:grow/>
          </m:dPr>
          <m:e>
            <m:r>
              <m:t>x</m:t>
            </m:r>
          </m:e>
        </m:d>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d>
            <m:dPr>
              <m:begChr m:val="("/>
              <m:sepChr m:val=""/>
              <m:endChr m:val=")"/>
              <m:grow/>
            </m:dPr>
            <m:e>
              <m:r>
                <m:t>x</m:t>
              </m:r>
            </m:e>
          </m:d>
          <m:r>
            <m:t> </m:t>
          </m:r>
          <m:r>
            <m:rPr>
              <m:nor/>
              <m:sty m:val="p"/>
            </m:rPr>
            <m:t>d</m:t>
          </m:r>
          <m:r>
            <m:t>x</m:t>
          </m:r>
          <m:r>
            <m:rPr>
              <m:sty m:val="p"/>
            </m:rPr>
            <m:t>=</m:t>
          </m:r>
          <m:f>
            <m:fPr>
              <m:type m:val="bar"/>
            </m:fPr>
            <m:num>
              <m:r>
                <m:t>α</m:t>
              </m:r>
            </m:num>
            <m:den>
              <m:r>
                <m:t>2</m:t>
              </m:r>
            </m:den>
          </m:f>
          <m:r>
            <m:t> </m:t>
          </m:r>
          <m:r>
            <m:rPr>
              <m:nor/>
              <m:sty m:val="p"/>
              <m:scr m:val="sans-serif"/>
            </m:rPr>
            <m:t>and</m:t>
          </m:r>
          <m:r>
            <m:t> </m:t>
          </m:r>
          <m:nary>
            <m:naryPr>
              <m:chr m:val="∫"/>
              <m:limLoc m:val="subSup"/>
              <m:subHide m:val="off"/>
              <m:supHide m:val="off"/>
            </m:naryPr>
            <m:sub>
              <m:sSub>
                <m:e>
                  <m:r>
                    <m:t>z</m:t>
                  </m:r>
                </m:e>
                <m:sub>
                  <m:r>
                    <m:t>2</m:t>
                  </m:r>
                </m:sub>
              </m:sSub>
            </m:sub>
            <m:sup>
              <m:r>
                <m:rPr>
                  <m:sty m:val="p"/>
                </m:rPr>
                <m:t>∞</m:t>
              </m:r>
            </m:sup>
            <m:e>
              <m:r>
                <m:t>f</m:t>
              </m:r>
            </m:e>
          </m:nary>
          <m:d>
            <m:dPr>
              <m:begChr m:val="("/>
              <m:sepChr m:val=""/>
              <m:endChr m:val=")"/>
              <m:grow/>
            </m:dPr>
            <m:e>
              <m:r>
                <m:t>x</m:t>
              </m:r>
            </m:e>
          </m:d>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5755521" cy="2186608"/>
                  <wp:effectExtent b="0" l="0" r="0" t="0"/>
                  <wp:docPr descr="" title="" id="51" name="Picture"/>
                  <a:graphic>
                    <a:graphicData uri="http://schemas.openxmlformats.org/drawingml/2006/picture">
                      <pic:pic>
                        <pic:nvPicPr>
                          <pic:cNvPr descr="./FiguresPNG/hypothesistesting-fig3-3.png" id="52" name="Picture"/>
                          <pic:cNvPicPr>
                            <a:picLocks noChangeArrowheads="1" noChangeAspect="1"/>
                          </pic:cNvPicPr>
                        </pic:nvPicPr>
                        <pic:blipFill>
                          <a:blip r:embed="rId50"/>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2"/>
          <w:p>
            <w:pPr>
              <w:pStyle w:val="Compact"/>
              <w:jc w:val="center"/>
            </w:pPr>
            <w:r>
              <w:drawing>
                <wp:inline>
                  <wp:extent cx="5755521" cy="2186608"/>
                  <wp:effectExtent b="0" l="0" r="0" t="0"/>
                  <wp:docPr descr="" title="" id="55" name="Picture"/>
                  <a:graphic>
                    <a:graphicData uri="http://schemas.openxmlformats.org/drawingml/2006/picture">
                      <pic:pic>
                        <pic:nvPicPr>
                          <pic:cNvPr descr="./FiguresPNG/hypothesistesting-fig2-2.png" id="56" name="Picture"/>
                          <pic:cNvPicPr>
                            <a:picLocks noChangeArrowheads="1" noChangeAspect="1"/>
                          </pic:cNvPicPr>
                        </pic:nvPicPr>
                        <pic:blipFill>
                          <a:blip r:embed="rId54"/>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r>
              <w:drawing>
                <wp:inline>
                  <wp:extent cx="5755521" cy="2186608"/>
                  <wp:effectExtent b="0" l="0" r="0" t="0"/>
                  <wp:docPr descr="" title="" id="59" name="Picture"/>
                  <a:graphic>
                    <a:graphicData uri="http://schemas.openxmlformats.org/drawingml/2006/picture">
                      <pic:pic>
                        <pic:nvPicPr>
                          <pic:cNvPr descr="./FiguresPNG/hypothesistesting-fig1-1.png" id="60" name="Picture"/>
                          <pic:cNvPicPr>
                            <a:picLocks noChangeArrowheads="1" noChangeAspect="1"/>
                          </pic:cNvPicPr>
                        </pic:nvPicPr>
                        <pic:blipFill>
                          <a:blip r:embed="rId58"/>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61"/>
        </w:tc>
      </w:tr>
    </w:tbl>
    <w:bookmarkEnd w:id="62"/>
    <w:bookmarkStart w:id="71"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70">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71"/>
    <w:bookmarkStart w:id="72"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75"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2026-06-08T14:50:58Z</dcterms:created>
  <dcterms:modified xsi:type="dcterms:W3CDTF">2026-06-08T14:50:58Z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FiguresPNG/hypothesistesting-image.png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