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25"/>
    <w:bookmarkStart w:id="45"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45"/>
    <w:bookmarkStart w:id="61"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w:t>
            </w:r>
            <w:r>
              <w:t xml:space="preserve"> </w:t>
            </w:r>
            <w:r>
              <w:t xml:space="preserve">“If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61"/>
    <w:bookmarkStart w:id="72"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2"/>
    <w:bookmarkStart w:id="73"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3"/>
    <w:bookmarkStart w:id="77" w:name="further-reading"/>
    <w:p>
      <w:pPr>
        <w:pStyle w:val="Heading1"/>
      </w:pPr>
      <w:r>
        <w:t xml:space="preserve">Further reading</w:t>
      </w:r>
    </w:p>
    <w:p>
      <w:pPr>
        <w:pStyle w:val="FirstParagraph"/>
      </w:pPr>
      <w:hyperlink r:id="rId74">
        <w:r>
          <w:rPr>
            <w:rStyle w:val="Hyperlink"/>
          </w:rPr>
          <w:t xml:space="preserve">For more questions on the subject, please go to Questions: Introduction to logic.</w:t>
        </w:r>
      </w:hyperlink>
    </w:p>
    <w:bookmarkStart w:id="76"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2026-06-08T14:48:40Z</dcterms:created>
  <dcterms:modified xsi:type="dcterms:W3CDTF">2026-06-08T14:48:40Z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