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72.png" ContentType="image/png"/>
  <Override PartName="/word/media/rId78.png" ContentType="image/png"/>
  <Override PartName="/word/media/rId23.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22"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21">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22"/>
    <w:bookmarkStart w:id="39"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other sets, but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38"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28" w:name="roster-notation"/>
    <w:p>
      <w:pPr>
        <w:pStyle w:val="Heading3"/>
      </w:pPr>
      <w:r>
        <w:t xml:space="preserve">Roster Notation</w:t>
      </w:r>
    </w:p>
    <w:p>
      <w:pPr>
        <w:pStyle w:val="FirstParagraph"/>
      </w:pPr>
      <w:r>
        <w:t xml:space="preserve">Roster notation lists all elements of a set explicitly in curly brackets.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a collection of keys on a keyring. The keys are present on the keyring, so they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pPr>
              <w:spacing w:after="16"/>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m:oMathPara>
              <m:oMathParaPr>
                <m:jc m:val="center"/>
              </m:oMathParaPr>
              <m:oMath>
                <m:r>
                  <m:rPr>
                    <m:sty m:val="p"/>
                  </m:rPr>
                  <m:t>{</m:t>
                </m:r>
                <m:r>
                  <m:t> </m:t>
                </m:r>
                <m:r>
                  <m:rPr>
                    <m:nor/>
                    <m:sty m:val="p"/>
                  </m:rPr>
                  <m:t>house key</m:t>
                </m:r>
                <m:r>
                  <m:rPr>
                    <m:sty m:val="p"/>
                  </m:rPr>
                  <m:t>,</m:t>
                </m:r>
                <m:r>
                  <m:t> </m:t>
                </m:r>
                <m:r>
                  <m:rPr>
                    <m:nor/>
                    <m:sty m:val="p"/>
                  </m:rPr>
                  <m:t>car key</m:t>
                </m:r>
                <m:r>
                  <m:rPr>
                    <m:sty m:val="p"/>
                  </m:rPr>
                  <m:t>,</m:t>
                </m:r>
                <m:r>
                  <m:t> </m:t>
                </m:r>
                <m:r>
                  <m:rPr>
                    <m:nor/>
                    <m:sty m:val="p"/>
                  </m:rPr>
                  <m:t>shed key</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28"/>
    <w:bookmarkStart w:id="37"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r>
                  <m:rPr>
                    <m:sty m:val="p"/>
                  </m:rPr>
                  <m:t>{</m:t>
                </m:r>
                <m:r>
                  <m:t>x</m:t>
                </m:r>
                <m:r>
                  <m:rPr>
                    <m:sty m:val="p"/>
                  </m:rPr>
                  <m:t>:</m:t>
                </m:r>
                <m:f>
                  <m:fPr>
                    <m:type m:val="bar"/>
                  </m:fPr>
                  <m:num>
                    <m:r>
                      <m:t>x</m:t>
                    </m:r>
                  </m:num>
                  <m:den>
                    <m:r>
                      <m:t>2</m:t>
                    </m:r>
                  </m:den>
                </m:f>
                <m:r>
                  <m:rPr>
                    <m:sty m:val="p"/>
                  </m:rPr>
                  <m:t>∈</m:t>
                </m:r>
                <m:r>
                  <m:rPr>
                    <m:sty m:val="p"/>
                    <m:scr m:val="double-struck"/>
                  </m:rPr>
                  <m:t>Z</m:t>
                </m:r>
                <m:r>
                  <m:rPr>
                    <m:sty m:val="p"/>
                  </m:rPr>
                  <m:t>}</m:t>
                </m:r>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31">
              <w:r>
                <w:rPr>
                  <w:rStyle w:val="Hyperlink"/>
                </w:rPr>
                <w:t xml:space="preserve">Guide: Introduction to fractions</w:t>
              </w:r>
            </w:hyperlink>
            <w:r>
              <w:t xml:space="preserve"> </w:t>
            </w:r>
            <w:r>
              <w:t xml:space="preserve">to learn about fractions, and</w:t>
            </w:r>
            <w:r>
              <w:t xml:space="preserve"> </w:t>
            </w:r>
            <w:hyperlink r:id="rId32">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ty m:val="p"/>
                    <m:scr m:val="double-struck"/>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ty m:val="p"/>
                  <m:scr m:val="double-struck"/>
                </m:rPr>
                <m:t>Z</m:t>
              </m:r>
            </m:oMath>
            <w:r>
              <w:t xml:space="preserve"> </w:t>
            </w:r>
            <w:r>
              <w:t xml:space="preserve">such that</w:t>
            </w:r>
            <w:r>
              <w:t xml:space="preserve"> </w:t>
            </w:r>
            <m:oMath>
              <m:r>
                <m:t>x</m:t>
              </m:r>
            </m:oMath>
            <w:r>
              <w:t xml:space="preserve"> </w:t>
            </w:r>
            <w:r>
              <w:t xml:space="preserve">is congruent to 0 modulo 2 (see</w:t>
            </w:r>
            <w:r>
              <w:t xml:space="preserve"> </w:t>
            </w:r>
            <w:hyperlink r:id="rId33">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37"/>
    <w:bookmarkEnd w:id="38"/>
    <w:bookmarkEnd w:id="39"/>
    <w:bookmarkStart w:id="58"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d>
                <m:dPr>
                  <m:begChr m:val="|"/>
                  <m:sepChr m:val=""/>
                  <m:endChr m:val="|"/>
                  <m:grow/>
                </m:dPr>
                <m:e>
                  <m:r>
                    <m:t>A</m:t>
                  </m:r>
                </m:e>
              </m:d>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d>
                <m:dPr>
                  <m:begChr m:val="|"/>
                  <m:sepChr m:val=""/>
                  <m:endChr m:val="|"/>
                  <m:grow/>
                </m:dPr>
                <m:e>
                  <m:r>
                    <m:t>D</m:t>
                  </m:r>
                </m:e>
              </m:d>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ty m:val="p"/>
            <m:scr m:val="double-struck"/>
          </m:rPr>
          <m:t>Z</m:t>
        </m:r>
      </m:oMath>
      <w:r>
        <w:t xml:space="preserve"> </w:t>
      </w:r>
      <w:r>
        <w:t xml:space="preserve">or the reals</w:t>
      </w:r>
      <w:r>
        <w:t xml:space="preserve"> </w:t>
      </w:r>
      <m:oMath>
        <m:r>
          <m:rPr>
            <m:sty m:val="p"/>
            <m:scr m:val="double-struck"/>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ty m:val="p"/>
            <m:scr m:val="double-struck"/>
          </m:rPr>
          <m:t>R</m:t>
        </m:r>
      </m:oMath>
      <w:r>
        <w:t xml:space="preserve"> </w:t>
      </w:r>
      <w:r>
        <w:t xml:space="preserve">is bigger than the infinity that is the size of</w:t>
      </w:r>
      <w:r>
        <w:t xml:space="preserve"> </w:t>
      </w:r>
      <m:oMath>
        <m:r>
          <m:rPr>
            <m:sty m:val="p"/>
            <m:scr m:val="double-struck"/>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47"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ty m:val="p"/>
            <m:scr m:val="double-struck"/>
          </m:rPr>
          <m:t>N</m:t>
        </m:r>
      </m:oMath>
      <w:r>
        <w:t xml:space="preserve">. This cardinality is written</w:t>
      </w:r>
      <w:r>
        <w:t xml:space="preserve"> </w:t>
      </w:r>
      <m:oMath>
        <m:sSub>
          <m:e>
            <m:r>
              <m:rPr>
                <m:sty m:val="p"/>
              </m:rP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46">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ty m:val="p"/>
            <m:scr m:val="double-struck"/>
          </m:rPr>
          <m:t>N</m:t>
        </m:r>
      </m:oMath>
      <w:r>
        <w:t xml:space="preserve">, the integers</w:t>
      </w:r>
      <w:r>
        <w:t xml:space="preserve"> </w:t>
      </w:r>
      <m:oMath>
        <m:r>
          <m:rPr>
            <m:sty m:val="p"/>
            <m:scr m:val="double-struck"/>
          </m:rPr>
          <m:t>Z</m:t>
        </m:r>
      </m:oMath>
      <w:r>
        <w:t xml:space="preserve"> </w:t>
      </w:r>
      <w:r>
        <w:t xml:space="preserve">and the rational numbers</w:t>
      </w:r>
      <w:r>
        <w:t xml:space="preserve"> </w:t>
      </w:r>
      <m:oMath>
        <m:r>
          <m:rPr>
            <m:sty m:val="p"/>
            <m:scr m:val="double-struck"/>
          </m:rPr>
          <m:t>Q</m:t>
        </m:r>
      </m:oMath>
      <w:r>
        <w:t xml:space="preserve">.</w:t>
      </w:r>
    </w:p>
    <w:bookmarkEnd w:id="47"/>
    <w:bookmarkStart w:id="52"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greater than</w:t>
      </w:r>
      <w:r>
        <w:t xml:space="preserve"> </w:t>
      </w:r>
      <m:oMath>
        <m:sSub>
          <m:e>
            <m:r>
              <m:rPr>
                <m:sty m:val="p"/>
              </m:rP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d>
                <m:dPr>
                  <m:begChr m:val="("/>
                  <m:sepChr m:val=""/>
                  <m:endChr m:val=")"/>
                  <m:grow/>
                </m:dPr>
                <m:e>
                  <m:r>
                    <m:t>0</m:t>
                  </m:r>
                  <m:r>
                    <m:rPr>
                      <m:sty m:val="p"/>
                    </m:rPr>
                    <m:t>,</m:t>
                  </m:r>
                  <m:r>
                    <m:t>1</m:t>
                  </m:r>
                </m:e>
              </m:d>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d>
                <m:dPr>
                  <m:begChr m:val="("/>
                  <m:sepChr m:val=""/>
                  <m:endChr m:val=")"/>
                  <m:grow/>
                </m:dPr>
                <m:e>
                  <m:r>
                    <m:t>0</m:t>
                  </m:r>
                  <m:r>
                    <m:rPr>
                      <m:sty m:val="p"/>
                    </m:rPr>
                    <m:t>,</m:t>
                  </m:r>
                  <m:r>
                    <m:t>1</m:t>
                  </m:r>
                </m:e>
              </m:d>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d>
                <m:dPr>
                  <m:begChr m:val="("/>
                  <m:sepChr m:val=""/>
                  <m:endChr m:val=")"/>
                  <m:grow/>
                </m:dPr>
                <m:e>
                  <m:r>
                    <m:t>0</m:t>
                  </m:r>
                  <m:r>
                    <m:rPr>
                      <m:sty m:val="p"/>
                    </m:rPr>
                    <m:t>,</m:t>
                  </m:r>
                  <m:r>
                    <m:t>1</m:t>
                  </m:r>
                </m:e>
              </m:d>
            </m:oMath>
            <w:r>
              <w:t xml:space="preserve">.</w:t>
            </w:r>
          </w:p>
          <w:p>
            <w:pPr>
              <w:pStyle w:val="BodyText"/>
            </w:pPr>
            <w:pPr>
              <w:spacing w:after="16"/>
            </w:pPr>
            <w:r>
              <w:t xml:space="preserve">This means that the elements of the interval cannot be listed, and</w:t>
            </w:r>
            <w:r>
              <w:t xml:space="preserve"> </w:t>
            </w:r>
            <m:oMath>
              <m:d>
                <m:dPr>
                  <m:begChr m:val="("/>
                  <m:sepChr m:val=""/>
                  <m:endChr m:val=")"/>
                  <m:grow/>
                </m:dPr>
                <m:e>
                  <m:r>
                    <m:t>0</m:t>
                  </m:r>
                  <m:r>
                    <m:rPr>
                      <m:sty m:val="p"/>
                    </m:rPr>
                    <m:t>,</m:t>
                  </m:r>
                  <m:r>
                    <m:t>1</m:t>
                  </m:r>
                </m:e>
              </m:d>
            </m:oMath>
            <w:r>
              <w:t xml:space="preserve"> </w:t>
            </w:r>
            <w:r>
              <w:t xml:space="preserve">is uncountable.</w:t>
            </w:r>
          </w:p>
        </w:tc>
      </w:tr>
    </w:tbl>
    <w:p>
      <w:pPr>
        <w:pStyle w:val="BodyText"/>
      </w:pPr>
      <w:r>
        <w:t xml:space="preserve">Other examples of uncountable sets are the real numbers</w:t>
      </w:r>
      <w:r>
        <w:t xml:space="preserve"> </w:t>
      </w:r>
      <m:oMath>
        <m:r>
          <m:rPr>
            <m:sty m:val="p"/>
            <m:scr m:val="double-struck"/>
          </m:rPr>
          <m:t>R</m:t>
        </m:r>
      </m:oMath>
      <w:r>
        <w:t xml:space="preserve"> </w:t>
      </w:r>
      <w:r>
        <w:t xml:space="preserve">and the complex numbers</w:t>
      </w:r>
      <w:r>
        <w:t xml:space="preserve"> </w:t>
      </w:r>
      <m:oMath>
        <m:r>
          <m:rPr>
            <m:sty m:val="p"/>
            <m:scr m:val="double-struck"/>
          </m:rPr>
          <m:t>C</m:t>
        </m:r>
      </m:oMath>
      <w:r>
        <w:t xml:space="preserve">. Both of these sets have the cardinality</w:t>
      </w:r>
      <w:r>
        <w:t xml:space="preserve"> </w:t>
      </w:r>
      <m:oMath>
        <m:sSup>
          <m:e>
            <m:r>
              <m:t>2</m:t>
            </m:r>
          </m:e>
          <m:sup>
            <m:sSub>
              <m:e>
                <m:r>
                  <m:rPr>
                    <m:sty m:val="p"/>
                  </m:rPr>
                  <m:t>ℵ</m:t>
                </m:r>
              </m:e>
              <m:sub>
                <m:r>
                  <m:t>0</m:t>
                </m:r>
              </m:sub>
            </m:sSub>
          </m:sup>
        </m:sSup>
        <m:r>
          <m:rPr>
            <m:sty m:val="p"/>
          </m:rPr>
          <m:t>=</m:t>
        </m:r>
        <m:r>
          <m:rPr>
            <m:sty m:val="p"/>
            <m:scr m:val="fraktur"/>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52"/>
    <w:bookmarkStart w:id="57"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21">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57"/>
    <w:bookmarkEnd w:id="58"/>
    <w:bookmarkStart w:id="82"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is a set whose elements are all contained within another set. For two sets</w:t>
            </w:r>
            <w:r>
              <w:t xml:space="preserve"> </w:t>
            </w:r>
            <m:oMath>
              <m:r>
                <m:t>A</m:t>
              </m:r>
            </m:oMath>
            <w:r>
              <w:t xml:space="preserve"> </w:t>
            </w:r>
            <w:r>
              <w:t xml:space="preserve">and</w:t>
            </w:r>
            <w:r>
              <w:t xml:space="preserve"> </w:t>
            </w:r>
            <m:oMath>
              <m:r>
                <m:t>B</m:t>
              </m:r>
            </m:oMath>
            <w:r>
              <w:t xml:space="preserve">, you write</w:t>
            </w:r>
            <w:r>
              <w:t xml:space="preserve"> </w:t>
            </w:r>
            <m:oMath>
              <m:r>
                <m:t>A</m:t>
              </m:r>
              <m:r>
                <m:rPr>
                  <m:sty m:val="p"/>
                </m:rPr>
                <m:t>⊆</m:t>
              </m:r>
              <m:r>
                <m:t>B</m:t>
              </m:r>
            </m:oMath>
            <w:r>
              <w:t xml:space="preserve"> </w:t>
            </w:r>
            <w:r>
              <w:t xml:space="preserve">to say</w:t>
            </w:r>
            <w:r>
              <w:t xml:space="preserve"> </w:t>
            </w:r>
            <w:r>
              <w:t xml:space="preserve">‘</w:t>
            </w:r>
            <m:oMath>
              <m:r>
                <m:t>A</m:t>
              </m:r>
            </m:oMath>
            <w:r>
              <w:t xml:space="preserve"> </w:t>
            </w:r>
            <w:r>
              <w:t xml:space="preserve">is a subset of</w:t>
            </w:r>
            <w:r>
              <w:t xml:space="preserve"> </w:t>
            </w:r>
            <m:oMath>
              <m:r>
                <m:t>B</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64" w:name="fig-1"/>
          <w:p>
            <w:pPr>
              <w:pStyle w:val="Compact"/>
              <w:jc w:val="center"/>
            </w:pPr>
            <w:r>
              <w:drawing>
                <wp:inline>
                  <wp:extent cx="4160520" cy="3120390"/>
                  <wp:effectExtent b="0" l="0" r="0" t="0"/>
                  <wp:docPr descr="" title="" id="62" name="Picture"/>
                  <a:graphic>
                    <a:graphicData uri="http://schemas.openxmlformats.org/drawingml/2006/picture">
                      <pic:pic>
                        <pic:nvPicPr>
                          <pic:cNvPr descr="./FiguresPNG/introtosettheory-fig1.png" id="63" name="Picture"/>
                          <pic:cNvPicPr>
                            <a:picLocks noChangeArrowheads="1" noChangeAspect="1"/>
                          </pic:cNvPicPr>
                        </pic:nvPicPr>
                        <pic:blipFill>
                          <a:blip r:embed="rId61"/>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m:oMathPara>
          </w:p>
          <w:p>
            <w:pPr>
              <w:pStyle w:val="FirstParagraph"/>
            </w:pPr>
            <w:r>
              <w:t xml:space="preserve">The natural numbers</w:t>
            </w:r>
            <w:r>
              <w:t xml:space="preserve"> </w:t>
            </w:r>
            <m:oMath>
              <m:r>
                <m:rPr>
                  <m:sty m:val="p"/>
                  <m:scr m:val="double-struck"/>
                </m:rPr>
                <m:t>N</m:t>
              </m:r>
            </m:oMath>
            <w:r>
              <w:t xml:space="preserve"> </w:t>
            </w:r>
            <w:r>
              <w:t xml:space="preserve">are a subset of the integers</w:t>
            </w:r>
            <w:r>
              <w:t xml:space="preserve"> </w:t>
            </w:r>
            <m:oMath>
              <m:r>
                <m:rPr>
                  <m:sty m:val="p"/>
                  <m:scr m:val="double-struck"/>
                </m:rPr>
                <m:t>Z</m:t>
              </m:r>
            </m:oMath>
            <w:r>
              <w:t xml:space="preserve">, which are a subset of the rational numbers</w:t>
            </w:r>
            <w:r>
              <w:t xml:space="preserve"> </w:t>
            </w:r>
            <m:oMath>
              <m:r>
                <m:rPr>
                  <m:sty m:val="p"/>
                  <m:scr m:val="double-struck"/>
                </m:rPr>
                <m:t>Q</m:t>
              </m:r>
            </m:oMath>
            <w:r>
              <w:t xml:space="preserve">, which are a subset of the real numbers</w:t>
            </w:r>
            <w:r>
              <w:t xml:space="preserve"> </w:t>
            </w:r>
            <m:oMath>
              <m:r>
                <m:rPr>
                  <m:sty m:val="p"/>
                  <m:scr m:val="double-struck"/>
                </m:rPr>
                <m:t>R</m:t>
              </m:r>
            </m:oMath>
            <w:r>
              <w:t xml:space="preserve">, which are a subset of the complex numbers</w:t>
            </w:r>
            <w:r>
              <w:t xml:space="preserve"> </w:t>
            </w:r>
            <m:oMath>
              <m:r>
                <m:rPr>
                  <m:sty m:val="p"/>
                  <m:scr m:val="double-struck"/>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20">
              <w:r>
                <w:rPr>
                  <w:rStyle w:val="Hyperlink"/>
                </w:rPr>
                <w:t xml:space="preserve">Overview: Number sets</w:t>
              </w:r>
            </w:hyperlink>
            <w:r>
              <w:t xml:space="preserve"> </w:t>
            </w:r>
            <w:r>
              <w:t xml:space="preserve">to learn more about these sets, and</w:t>
            </w:r>
            <w:r>
              <w:t xml:space="preserve"> </w:t>
            </w:r>
            <w:hyperlink r:id="rId69">
              <w:r>
                <w:rPr>
                  <w:rStyle w:val="Hyperlink"/>
                </w:rPr>
                <w:t xml:space="preserve">Guide: Introduction to complex numbers</w:t>
              </w:r>
            </w:hyperlink>
            <w:r>
              <w:t xml:space="preserve"> </w:t>
            </w:r>
            <w:r>
              <w:t xml:space="preserve">for a more detailed look into the numbers in</w:t>
            </w:r>
            <w:r>
              <w:t xml:space="preserve"> </w:t>
            </w:r>
            <m:oMath>
              <m:r>
                <m:rPr>
                  <m:sty m:val="p"/>
                  <m:scr m:val="double-struck"/>
                </m:rPr>
                <m:t>C</m:t>
              </m:r>
            </m:oMath>
            <w:r>
              <w:t xml:space="preserve"> </w:t>
            </w:r>
            <w:r>
              <w:t xml:space="preserve">and how they behave.</w:t>
            </w:r>
          </w:p>
        </w:tc>
      </w:tr>
    </w:tbl>
    <w:bookmarkStart w:id="81"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d>
                <m:dPr>
                  <m:begChr m:val="("/>
                  <m:sepChr m:val=""/>
                  <m:endChr m:val=")"/>
                  <m:grow/>
                </m:dPr>
                <m:e>
                  <m:r>
                    <m:t>0</m:t>
                  </m:r>
                  <m:r>
                    <m:rPr>
                      <m:sty m:val="p"/>
                    </m:rPr>
                    <m:t>,</m:t>
                  </m:r>
                  <m:r>
                    <m:t>1</m:t>
                  </m:r>
                </m:e>
              </m:d>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d>
                <m:dPr>
                  <m:begChr m:val="["/>
                  <m:sepChr m:val=""/>
                  <m:endChr m:val="]"/>
                  <m:grow/>
                </m:dPr>
                <m:e>
                  <m:r>
                    <m:t>0</m:t>
                  </m:r>
                  <m:r>
                    <m:rPr>
                      <m:sty m:val="p"/>
                    </m:rPr>
                    <m:t>,</m:t>
                  </m:r>
                  <m:r>
                    <m:t>1</m:t>
                  </m:r>
                </m:e>
              </m:d>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75" w:name="fig-2"/>
          <w:p>
            <w:pPr>
              <w:pStyle w:val="Compact"/>
              <w:jc w:val="center"/>
            </w:pPr>
            <w:r>
              <w:drawing>
                <wp:inline>
                  <wp:extent cx="4160520" cy="3103747"/>
                  <wp:effectExtent b="0" l="0" r="0" t="0"/>
                  <wp:docPr descr="" title="" id="73" name="Picture"/>
                  <a:graphic>
                    <a:graphicData uri="http://schemas.openxmlformats.org/drawingml/2006/picture">
                      <pic:pic>
                        <pic:nvPicPr>
                          <pic:cNvPr descr="./FiguresPNG/introtosettheory-fig2.png" id="74" name="Picture"/>
                          <pic:cNvPicPr>
                            <a:picLocks noChangeArrowheads="1" noChangeAspect="1"/>
                          </pic:cNvPicPr>
                        </pic:nvPicPr>
                        <pic:blipFill>
                          <a:blip r:embed="rId72"/>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75"/>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81"/>
    <w:bookmarkEnd w:id="82"/>
    <w:bookmarkStart w:id="95"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ty m:val="p"/>
            <m:scr m:val="script"/>
          </m:rPr>
          <m:t>P</m:t>
        </m:r>
        <m:d>
          <m:dPr>
            <m:begChr m:val="("/>
            <m:sepChr m:val=""/>
            <m:endChr m:val=")"/>
            <m:grow/>
          </m:dPr>
          <m:e>
            <m:r>
              <m:t>A</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94"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p>
            <w:pPr>
              <w:pStyle w:val="FirstParagraph"/>
            </w:pPr>
            <w:r>
              <w:t xml:space="preserve">The size of</w:t>
            </w:r>
            <w:r>
              <w:t xml:space="preserve"> </w:t>
            </w:r>
            <m:oMath>
              <m:r>
                <m:rPr>
                  <m:sty m:val="p"/>
                  <m:scr m:val="script"/>
                </m:rPr>
                <m:t>P</m:t>
              </m:r>
              <m:d>
                <m:dPr>
                  <m:begChr m:val="("/>
                  <m:sepChr m:val=""/>
                  <m:endChr m:val=")"/>
                  <m:grow/>
                </m:dPr>
                <m:e>
                  <m:r>
                    <m:t>A</m:t>
                  </m:r>
                </m:e>
              </m:d>
            </m:oMath>
            <w:r>
              <w:t xml:space="preserve"> </w:t>
            </w:r>
            <w:r>
              <w:t xml:space="preserve">is</w:t>
            </w:r>
            <w:r>
              <w:t xml:space="preserve"> </w:t>
            </w:r>
            <m:oMath>
              <m:d>
                <m:dPr>
                  <m:begChr m:val="|"/>
                  <m:sepChr m:val=""/>
                  <m:endChr m:val="|"/>
                  <m:grow/>
                </m:dPr>
                <m:e>
                  <m:r>
                    <m:rPr>
                      <m:sty m:val="p"/>
                      <m:scr m:val="script"/>
                    </m:rPr>
                    <m:t>P</m:t>
                  </m:r>
                  <m:d>
                    <m:dPr>
                      <m:begChr m:val="("/>
                      <m:sepChr m:val=""/>
                      <m:endChr m:val=")"/>
                      <m:grow/>
                    </m:dPr>
                    <m:e>
                      <m:r>
                        <m:t>A</m:t>
                      </m:r>
                    </m:e>
                  </m:d>
                </m:e>
              </m:d>
              <m:r>
                <m:rPr>
                  <m:sty m:val="p"/>
                </m:rPr>
                <m:t>=</m:t>
              </m:r>
              <m:sSup>
                <m:e>
                  <m:r>
                    <m:t>2</m:t>
                  </m:r>
                </m:e>
                <m:sup>
                  <m:d>
                    <m:dPr>
                      <m:begChr m:val="|"/>
                      <m:sepChr m:val=""/>
                      <m:endChr m:val="|"/>
                      <m:grow/>
                    </m:dPr>
                    <m:e>
                      <m:r>
                        <m:t>A</m:t>
                      </m:r>
                    </m:e>
                  </m:d>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91">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important.png" id="9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rPr>
                        <m:sty m:val="p"/>
                      </m:rPr>
                      <m:t>∅</m:t>
                    </m:r>
                  </m:e>
                </m:d>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d>
                <m:dPr>
                  <m:begChr m:val="|"/>
                  <m:sepChr m:val=""/>
                  <m:endChr m:val="|"/>
                  <m:grow/>
                </m:dPr>
                <m:e>
                  <m:r>
                    <m:rPr>
                      <m:sty m:val="p"/>
                      <m:scr m:val="script"/>
                    </m:rPr>
                    <m:t>P</m:t>
                  </m:r>
                  <m:d>
                    <m:dPr>
                      <m:begChr m:val="("/>
                      <m:sepChr m:val=""/>
                      <m:endChr m:val=")"/>
                      <m:grow/>
                    </m:dPr>
                    <m:e>
                      <m:r>
                        <m:rPr>
                          <m:sty m:val="p"/>
                        </m:rPr>
                        <m:t>∅</m:t>
                      </m:r>
                    </m:e>
                  </m:d>
                </m:e>
              </m:d>
              <m:r>
                <m:rPr>
                  <m:sty m:val="p"/>
                </m:rPr>
                <m:t>=</m:t>
              </m:r>
              <m:r>
                <m:t>1</m:t>
              </m:r>
            </m:oMath>
            <w:r>
              <w:t xml:space="preserve">.</w:t>
            </w:r>
          </w:p>
          <w:p/>
        </w:tc>
      </w:tr>
    </w:tbl>
    <w:bookmarkEnd w:id="94"/>
    <w:bookmarkEnd w:id="95"/>
    <w:bookmarkStart w:id="96"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d>
          <m:dPr>
            <m:begChr m:val="|"/>
            <m:sepChr m:val=""/>
            <m:endChr m:val="|"/>
            <m:grow/>
          </m:dPr>
          <m:e>
            <m:r>
              <m:t>A</m:t>
            </m:r>
          </m:e>
        </m:d>
        <m:r>
          <m:rPr>
            <m:sty m:val="p"/>
          </m:rPr>
          <m:t>=</m:t>
        </m:r>
        <m:r>
          <m:t>4</m:t>
        </m:r>
      </m:oMath>
      <w:r>
        <w:t xml:space="preserve">, what is the cardinality of the power set</w:t>
      </w:r>
      <w:r>
        <w:t xml:space="preserve"> </w:t>
      </w:r>
      <m:oMath>
        <m:r>
          <m:rPr>
            <m:sty m:val="p"/>
            <m:scr m:val="script"/>
          </m:rPr>
          <m:t>P</m:t>
        </m:r>
        <m:d>
          <m:dPr>
            <m:begChr m:val="("/>
            <m:sepChr m:val=""/>
            <m:endChr m:val=")"/>
            <m:grow/>
          </m:dPr>
          <m:e>
            <m:r>
              <m:t>A</m:t>
            </m:r>
          </m:e>
        </m:d>
      </m:oMath>
      <w:r>
        <w:t xml:space="preserve">?</w:t>
      </w:r>
    </w:p>
    <w:p>
      <w:pPr>
        <w:numPr>
          <w:ilvl w:val="0"/>
          <w:numId w:val="1011"/>
        </w:numPr>
      </w:pPr>
      <w:r>
        <w:t xml:space="preserve">Write the set</w:t>
      </w:r>
      <w:r>
        <w:t xml:space="preserve"> </w:t>
      </w:r>
      <m:oMath>
        <m:r>
          <m:rPr>
            <m:sty m:val="p"/>
          </m:rPr>
          <m:t>{</m:t>
        </m:r>
        <m:r>
          <m:t>x</m:t>
        </m:r>
        <m:r>
          <m:rPr>
            <m:sty m:val="p"/>
          </m:rPr>
          <m:t>∈</m:t>
        </m:r>
        <m:r>
          <m:rPr>
            <m:sty m:val="p"/>
            <m:scr m:val="double-struck"/>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96"/>
    <w:bookmarkStart w:id="101" w:name="further-reading"/>
    <w:p>
      <w:pPr>
        <w:pStyle w:val="Heading1"/>
      </w:pPr>
      <w:r>
        <w:t xml:space="preserve">Further reading</w:t>
      </w:r>
    </w:p>
    <w:p>
      <w:pPr>
        <w:pStyle w:val="FirstParagraph"/>
      </w:pPr>
      <w:r>
        <w:t xml:space="preserve">For more questions on the subject, please go to</w:t>
      </w:r>
      <w:r>
        <w:t xml:space="preserve"> </w:t>
      </w:r>
      <w:hyperlink r:id="rId97">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98">
        <w:r>
          <w:rPr>
            <w:rStyle w:val="Hyperlink"/>
          </w:rPr>
          <w:t xml:space="preserve">Proof: Cardinalities of Infinite Power Sets</w:t>
        </w:r>
      </w:hyperlink>
      <w:r>
        <w:t xml:space="preserve">.</w:t>
      </w:r>
    </w:p>
    <w:bookmarkStart w:id="100"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2026-06-08T14:49:42Z</dcterms:created>
  <dcterms:modified xsi:type="dcterms:W3CDTF">2026-06-08T14:49:42Z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FiguresPNG/introtosettheory-image.png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