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quotient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The quotient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7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7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)</m:t>
            </m:r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11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13</m:t>
            </m:r>
            <m:r>
              <m:t>x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)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11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  <m:r>
                  <m:rPr>
                    <m:sty m:val="p"/>
                  </m:rPr>
                  <m:t>tan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27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15</m:t>
            </m:r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+</m:t>
            </m:r>
            <m:r>
              <m:t>21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54</m:t>
            </m:r>
            <m:r>
              <m:t>x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sec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sec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0">
        <w:r>
          <w:rPr>
            <w:rStyle w:val="Hyperlink"/>
          </w:rPr>
          <w:t xml:space="preserve">This work is licensed under CC BY-NC-SA 4.0.</w:t>
        </w:r>
      </w:hyperlink>
    </w:p>
    <w:bookmarkEnd w:id="1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quotient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quotient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quotient rule</dc:title>
  <dc:creator>Sara Delgado Garcia</dc:creator>
  <cp:keywords/>
  <dcterms:created xsi:type="dcterms:W3CDTF">2026-06-10T15:11:34Z</dcterms:created>
  <dcterms:modified xsi:type="dcterms:W3CDTF">2026-06-10T15:11:34Z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