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r>
          <m:rPr>
            <m:sty m:val="p"/>
          </m:rPr>
          <m:t>(</m:t>
        </m:r>
        <m:r>
          <m:t>μ</m:t>
        </m:r>
        <m:r>
          <m:rPr>
            <m:sty m:val="p"/>
          </m:rPr>
          <m:t>,</m:t>
        </m:r>
        <m:sSup>
          <m:e>
            <m:r>
              <m:t>σ</m:t>
            </m:r>
          </m:e>
          <m:sup>
            <m:r>
              <m:t>2</m:t>
            </m:r>
          </m:sup>
        </m:sSup>
        <m:r>
          <m:rPr>
            <m:sty m:val="p"/>
          </m:rPr>
          <m:t>)</m:t>
        </m:r>
      </m:oMath>
      <w:r>
        <w:t xml:space="preserve">.</w:t>
      </w:r>
    </w:p>
    <w:p>
      <w:pPr>
        <w:pStyle w:val="CaptionedFigure"/>
      </w:pPr>
      <w:r>
        <w:drawing>
          <wp:inline>
            <wp:extent cx="4754880" cy="5661035"/>
            <wp:effectExtent b="0" l="0" r="0" t="0"/>
            <wp:docPr descr="An example of the normal distribution with \mu = 0 and \sigma = 1." title="" id="10" name="Picture"/>
            <a:graphic>
              <a:graphicData uri="http://schemas.openxmlformats.org/drawingml/2006/picture">
                <pic:pic>
                  <pic:nvPicPr>
                    <pic:cNvPr descr="./FiguresPNG/f-normaldist.png" id="11" name="Picture"/>
                    <pic:cNvPicPr>
                      <a:picLocks noChangeArrowheads="1" noChangeAspect="1"/>
                    </pic:cNvPicPr>
                  </pic:nvPicPr>
                  <pic:blipFill>
                    <a:blip r:embed="rId9"/>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r>
          <m:rPr>
            <m:sty m:val="p"/>
          </m:rPr>
          <m:t>(</m:t>
        </m:r>
        <m:r>
          <m:t>μ</m:t>
        </m:r>
        <m:r>
          <m:rPr>
            <m:sty m:val="p"/>
          </m:rPr>
          <m:t>,</m:t>
        </m:r>
        <m:sSup>
          <m:e>
            <m:r>
              <m:t>σ</m:t>
            </m:r>
          </m:e>
          <m:sup>
            <m:r>
              <m:t>2</m:t>
            </m:r>
          </m:sup>
        </m:sSup>
        <m:r>
          <m:rPr>
            <m:sty m:val="p"/>
          </m:rPr>
          <m:t>)</m:t>
        </m:r>
      </m:oMath>
      <w:r>
        <w:t xml:space="preserve"> </w:t>
      </w:r>
      <w:r>
        <w:t xml:space="preserve">or</w:t>
      </w:r>
      <w:r>
        <w:t xml:space="preserve"> </w:t>
      </w:r>
      <m:oMath>
        <m:r>
          <m:t>X</m:t>
        </m:r>
        <m:r>
          <m:rPr>
            <m:sty m:val="p"/>
          </m:rPr>
          <m:t>∼</m:t>
        </m:r>
        <m:r>
          <m:t>N</m:t>
        </m:r>
        <m:r>
          <m:rPr>
            <m:sty m:val="p"/>
          </m:rPr>
          <m:t>(</m:t>
        </m:r>
        <m:r>
          <m:t>μ</m:t>
        </m:r>
        <m:r>
          <m:rPr>
            <m:sty m:val="p"/>
          </m:rPr>
          <m:t>,</m:t>
        </m:r>
        <m:sSup>
          <m:e>
            <m:r>
              <m:t>σ</m:t>
            </m:r>
          </m:e>
          <m:sup>
            <m:r>
              <m:t>2</m:t>
            </m:r>
          </m:sup>
        </m:sSup>
        <m:r>
          <m:rPr>
            <m:sty m:val="p"/>
          </m:rPr>
          <m:t>)</m:t>
        </m:r>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p>
        </w:tc>
        <w:tc>
          <w:tcPr/>
          <w:p>
            <w:pPr>
              <w:pStyle w:val="Compact"/>
              <w:jc w:val="left"/>
            </w:pPr>
            <m:oMath>
              <m:r>
                <m:rPr>
                  <m:sty m:val="p"/>
                </m:rPr>
                <m:t>exp</m:t>
              </m:r>
              <m:r>
                <m:rPr>
                  <m:sty m:val="p"/>
                </m:rPr>
                <m:t>(</m:t>
              </m:r>
              <m:r>
                <m:t>y</m:t>
              </m:r>
              <m:r>
                <m:rPr>
                  <m:sty m:val="p"/>
                </m:rPr>
                <m:t>)</m:t>
              </m:r>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r>
                <m:rPr>
                  <m:sty m:val="p"/>
                </m:rPr>
                <m:t>(</m:t>
              </m:r>
              <m:r>
                <m:t>x</m:t>
              </m:r>
              <m:r>
                <m:rPr>
                  <m:sty m:val="p"/>
                </m:rPr>
                <m:t>)</m:t>
              </m:r>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r>
          <m:rPr>
            <m:sty m:val="p"/>
          </m:rPr>
          <m:t>(</m:t>
        </m:r>
        <m:r>
          <m:t>5.6</m:t>
        </m:r>
        <m:r>
          <m:rPr>
            <m:sty m:val="p"/>
          </m:rPr>
          <m:t>,</m:t>
        </m:r>
        <m:r>
          <m:t>1.44</m:t>
        </m:r>
        <m:r>
          <m:rPr>
            <m:sty m:val="p"/>
          </m:rPr>
          <m:t>)</m:t>
        </m:r>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16"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Guide: PMFs, PDFs, CDFs</w:t>
        </w:r>
      </w:hyperlink>
      <w:r>
        <w:t xml:space="preserve"> </w:t>
      </w:r>
      <w:r>
        <w:t xml:space="preserve">and</w:t>
      </w:r>
      <w:r>
        <w:t xml:space="preserve"> </w:t>
      </w:r>
      <w:hyperlink r:id="rId13">
        <w:r>
          <w:rPr>
            <w:rStyle w:val="Hyperlink"/>
          </w:rPr>
          <w:t xml:space="preserve">Overview: Probability distributions.</w:t>
        </w:r>
      </w:hyperlink>
      <w:r>
        <w:t xml:space="preserve"> </w:t>
      </w:r>
      <w:r>
        <w:t xml:space="preserve">Please click the relevant links to go to the guides.</w:t>
      </w:r>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2"/>
        </w:numPr>
      </w:pPr>
      <w:r>
        <w:t xml:space="preserve">v1.2: graph transferred from R Shinylive to html by tdhc in 06/26.</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2026-06-10T15:14:58Z</dcterms:created>
  <dcterms:modified xsi:type="dcterms:W3CDTF">2026-06-10T15:14:58Z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