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quotient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quotient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quotient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−</m:t>
            </m:r>
            <m:r>
              <m:t>27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rPr>
                <m:sty m:val="p"/>
              </m:rPr>
              <m:t>sec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quotientrule.qmd" TargetMode="External" /><Relationship Type="http://schemas.openxmlformats.org/officeDocument/2006/relationships/hyperlink" Id="rId9" Target="../studyguides/quotien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quotientrule.qmd" TargetMode="External" /><Relationship Type="http://schemas.openxmlformats.org/officeDocument/2006/relationships/hyperlink" Id="rId9" Target="../studyguides/quotien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quotient rule</dc:title>
  <dc:creator>Sara Delgado Garcia</dc:creator>
  <cp:keywords/>
  <dcterms:created xsi:type="dcterms:W3CDTF">2026-06-10T15:29:17Z</dcterms:created>
  <dcterms:modified xsi:type="dcterms:W3CDTF">2026-06-10T15:29:17Z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