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4.png" ContentType="image/png"/>
  <Override PartName="/word/media/rId1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r>
          <m:rPr>
            <m:sty m:val="p"/>
          </m:rPr>
          <m:t>(</m:t>
        </m:r>
        <m:r>
          <m:t>x</m:t>
        </m:r>
        <m:r>
          <m:rPr>
            <m:sty m:val="p"/>
          </m:rPr>
          <m:t>)</m:t>
        </m:r>
      </m:oMath>
      <w:r>
        <w:t xml:space="preserve"> </w:t>
      </w:r>
      <w:r>
        <w:t xml:space="preserve">that are</w:t>
      </w:r>
      <w:r>
        <w:t xml:space="preserve"> </w:t>
      </w:r>
      <w:r>
        <w:t xml:space="preserve">‘implicitly defined’</w:t>
      </w:r>
      <w:r>
        <w:t xml:space="preserve"> </w:t>
      </w:r>
      <w:r>
        <w:t xml:space="preserve">as some expression like</w:t>
      </w:r>
      <w:r>
        <w:t xml:space="preserve"> </w:t>
      </w:r>
      <m:oMath>
        <m:r>
          <m:t>g</m:t>
        </m:r>
        <m:r>
          <m:rPr>
            <m:sty m:val="p"/>
          </m:rPr>
          <m:t>(</m:t>
        </m:r>
        <m:r>
          <m:t>x</m:t>
        </m:r>
        <m:r>
          <m:rPr>
            <m:sty m:val="p"/>
          </m:rPr>
          <m:t>,</m:t>
        </m:r>
        <m:r>
          <m:t>y</m:t>
        </m:r>
        <m:r>
          <m:rPr>
            <m:sty m:val="p"/>
          </m:rPr>
          <m:t>)</m:t>
        </m:r>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10">
        <w:r>
          <w:rPr>
            <w:rStyle w:val="Hyperlink"/>
            <w:i/>
            <w:iCs/>
          </w:rPr>
          <w:t xml:space="preserve">Guide: The product rule</w:t>
        </w:r>
      </w:hyperlink>
      <w:r>
        <w:rPr>
          <w:i/>
          <w:iCs/>
        </w:rPr>
        <w:t xml:space="preserve">,</w:t>
      </w:r>
      <w:r>
        <w:rPr>
          <w:i/>
          <w:iCs/>
        </w:rPr>
        <w:t xml:space="preserve"> </w:t>
      </w:r>
      <w:hyperlink r:id="rId11">
        <w:r>
          <w:rPr>
            <w:rStyle w:val="Hyperlink"/>
            <w:i/>
            <w:iCs/>
          </w:rPr>
          <w:t xml:space="preserve">Guide: The quotient rule</w:t>
        </w:r>
      </w:hyperlink>
      <w:r>
        <w:rPr>
          <w:i/>
          <w:iCs/>
        </w:rPr>
        <w:t xml:space="preserve">, and especially</w:t>
      </w:r>
      <w:r>
        <w:rPr>
          <w:i/>
          <w:iCs/>
        </w:rPr>
        <w:t xml:space="preserve"> </w:t>
      </w:r>
      <w:hyperlink r:id="rId12">
        <w:r>
          <w:rPr>
            <w:rStyle w:val="Hyperlink"/>
            <w:i/>
            <w:iCs/>
          </w:rPr>
          <w:t xml:space="preserve">Guide: The chain rule</w:t>
        </w:r>
      </w:hyperlink>
      <w:r>
        <w:t xml:space="preserve">.</w:t>
      </w:r>
    </w:p>
    <w:bookmarkStart w:id="13"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9">
        <w:r>
          <w:rPr>
            <w:rStyle w:val="Hyperlink"/>
          </w:rPr>
          <w:t xml:space="preserve">Guide: Introduction to differentiation and the derivative</w:t>
        </w:r>
      </w:hyperlink>
      <w:r>
        <w:t xml:space="preserve">), products (</w:t>
      </w:r>
      <w:hyperlink r:id="rId10">
        <w:r>
          <w:rPr>
            <w:rStyle w:val="Hyperlink"/>
          </w:rPr>
          <w:t xml:space="preserve">Guide: The product rule</w:t>
        </w:r>
      </w:hyperlink>
      <w:r>
        <w:t xml:space="preserve">), quotients (</w:t>
      </w:r>
      <w:hyperlink r:id="rId11">
        <w:r>
          <w:rPr>
            <w:rStyle w:val="Hyperlink"/>
          </w:rPr>
          <w:t xml:space="preserve">Guide: The quotient rule</w:t>
        </w:r>
      </w:hyperlink>
      <w:r>
        <w:t xml:space="preserve">) and compositions</w:t>
      </w:r>
      <w:r>
        <w:t xml:space="preserve"> </w:t>
      </w:r>
      <w:hyperlink r:id="rId12">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4</m:t>
          </m:r>
          <m:sSup>
            <m:e>
              <m:r>
                <m:rPr>
                  <m:sty m:val="p"/>
                </m:rPr>
                <m:t>)</m:t>
              </m:r>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r>
          <m:rPr>
            <m:sty m:val="p"/>
          </m:rPr>
          <m:t>(</m:t>
        </m:r>
        <m:r>
          <m:t>x</m:t>
        </m:r>
        <m:r>
          <m:rPr>
            <m:sty m:val="p"/>
          </m:rPr>
          <m:t>)</m:t>
        </m:r>
      </m:oMath>
      <w:r>
        <w:t xml:space="preserve"> </w:t>
      </w:r>
      <w:r>
        <w:t xml:space="preserve">between the two, but can be written as a</w:t>
      </w:r>
      <w:r>
        <w:t xml:space="preserve"> </w:t>
      </w:r>
      <w:r>
        <w:rPr>
          <w:i/>
          <w:iCs/>
        </w:rPr>
        <w:t xml:space="preserve">multivariate function</w:t>
      </w:r>
      <w:r>
        <w:t xml:space="preserve"> </w:t>
      </w:r>
      <m:oMath>
        <m:r>
          <m:t>g</m:t>
        </m:r>
        <m:r>
          <m:rPr>
            <m:sty m:val="p"/>
          </m:rPr>
          <m:t>(</m:t>
        </m:r>
        <m:r>
          <m:t>x</m:t>
        </m:r>
        <m:r>
          <m:rPr>
            <m:sty m:val="p"/>
          </m:rPr>
          <m:t>,</m:t>
        </m:r>
        <m:r>
          <m:t>y</m:t>
        </m:r>
        <m:r>
          <m:rPr>
            <m:sty m:val="p"/>
          </m:rPr>
          <m:t>)</m:t>
        </m:r>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13"/>
    <w:bookmarkStart w:id="28"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8"/>
    <w:bookmarkStart w:id="34"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33">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 [Proof sheet: Rules of differentiation.]</w:t>
      </w:r>
    </w:p>
    <w:bookmarkEnd w:id="34"/>
    <w:bookmarkStart w:id="59"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43">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8">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11">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12">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59"/>
    <w:bookmarkStart w:id="60"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60"/>
    <w:bookmarkStart w:id="65" w:name="further-reading"/>
    <w:p>
      <w:pPr>
        <w:pStyle w:val="Heading1"/>
      </w:pPr>
      <w:r>
        <w:t xml:space="preserve">Further reading</w:t>
      </w:r>
    </w:p>
    <w:p>
      <w:pPr>
        <w:pStyle w:val="FirstParagraph"/>
      </w:pPr>
      <w:hyperlink r:id="rId61">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11">
        <w:r>
          <w:rPr>
            <w:rStyle w:val="Hyperlink"/>
          </w:rPr>
          <w:t xml:space="preserve">Guide: The quotient rule</w:t>
        </w:r>
      </w:hyperlink>
      <w:r>
        <w:t xml:space="preserve">, and</w:t>
      </w:r>
      <w:r>
        <w:t xml:space="preserve"> </w:t>
      </w:r>
      <w:hyperlink r:id="rId12">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2">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rulesofdifferentiation.qmd" TargetMode="External" /><Relationship Type="http://schemas.openxmlformats.org/officeDocument/2006/relationships/hyperlink" Id="rId61" Target="../questions/qs-productrule.qmd" TargetMode="External" /><Relationship Type="http://schemas.openxmlformats.org/officeDocument/2006/relationships/hyperlink" Id="rId12" Target="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33"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48" Target="lawsofindices.qmd" TargetMode="External" /><Relationship Type="http://schemas.openxmlformats.org/officeDocument/2006/relationships/hyperlink" Id="rId10" Target="productrule.qmd" TargetMode="External" /><Relationship Type="http://schemas.openxmlformats.org/officeDocument/2006/relationships/hyperlink" Id="rId11" Target="quotientrule.qmd" TargetMode="External" /><Relationship Type="http://schemas.openxmlformats.org/officeDocument/2006/relationships/hyperlink" Id="rId43"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2026-06-10T15:23:27Z</dcterms:created>
  <dcterms:modified xsi:type="dcterms:W3CDTF">2026-06-10T15:23:27Z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FiguresPNG/product-image.png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