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solving first-order linear ODEs using integrating factors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1.3.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integrating factor for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The integrating factor for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2.3. The integrating factor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The integrating factor for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3.2.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3.3. The general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3.4.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x</m:t>
        </m:r>
      </m:oMath>
      <w:r>
        <w:t xml:space="preserve">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8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4.2.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28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4.3. The exact solution, given the initial condition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4.4.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5.2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</m:t>
                </m:r>
              </m:den>
            </m:f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5.3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sSup>
          <m:e>
            <m:r>
              <m:rPr>
                <m:sty m:val="p"/>
              </m:rPr>
              <m:t>csc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5.4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egratingfacto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egratingfacto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first-order linear ODEs using integrating factors</dc:title>
  <dc:creator>Maddi Koenig</dc:creator>
  <cp:keywords/>
  <dcterms:created xsi:type="dcterms:W3CDTF">2026-09-07T08:46:52Z</dcterms:created>
  <dcterms:modified xsi:type="dcterms:W3CDTF">2026-09-07T08:46:52Z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