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Binomial identities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Proof of binomial identities.</w:t>
      </w:r>
    </w:p>
    <w:p>
      <w:pPr>
        <w:pStyle w:val="FirstParagraph"/>
      </w:pPr>
      <w:r>
        <w:t xml:space="preserve">Before reading this proofsheet, it is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bookmarkStart w:id="13" w:name="proof"/>
    <w:p>
      <w:pPr>
        <w:pStyle w:val="Heading1"/>
      </w:pPr>
      <w:r>
        <w:t xml:space="preserve">Proof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 </w:t>
      </w:r>
      <w:r>
        <w:t xml:space="preserve">that a</w:t>
      </w:r>
      <w:r>
        <w:t xml:space="preserve"> </w:t>
      </w:r>
      <w:r>
        <w:rPr>
          <w:b/>
          <w:bCs/>
        </w:rPr>
        <w:t xml:space="preserve">binomial coefficient</w:t>
      </w:r>
      <w:r>
        <w:t xml:space="preserve"> </w:t>
      </w:r>
      <w:r>
        <w:t xml:space="preserve">computes the number of ways of selecting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from a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things,</w:t>
      </w:r>
      <w:r>
        <w:t xml:space="preserve"> </w:t>
      </w:r>
      <w:r>
        <w:rPr>
          <w:b/>
          <w:bCs/>
        </w:rPr>
        <w:t xml:space="preserve">where order doesn’t matter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combinations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combination 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binomial coefficient formula</w:t>
            </w:r>
            <w:r>
              <w:t xml:space="preserve"> </w:t>
            </w:r>
            <w:r>
              <w:t xml:space="preserve">calculates the number of ways to do this, you can write this in two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!</m:t>
                    </m:r>
                    <m:r>
                      <m:t>k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k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would read this as</w:t>
            </w:r>
            <w:r>
              <w:t xml:space="preserve"> </w:t>
            </w:r>
            <w:r>
              <w:t xml:space="preserve">“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use this formula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must be integers,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. If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n</m:t>
              </m:r>
            </m:oMath>
            <w:r>
              <w:t xml:space="preserve"> </w:t>
            </w:r>
            <w:r>
              <w:t xml:space="preserve">then there is no way to select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things from a collection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things, so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as there is only one way to pick nothing or everything from a collection of things.</w:t>
            </w:r>
          </w:p>
          <w:p/>
        </w:tc>
      </w:tr>
    </w:tbl>
    <w:bookmarkEnd w:id="13"/>
    <w:bookmarkStart w:id="18" w:name="symmetry-identity"/>
    <w:p>
      <w:pPr>
        <w:pStyle w:val="Heading1"/>
      </w:pPr>
      <w:r>
        <w:t xml:space="preserve">Symmetry identity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Symmetry identity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den>
                    </m:f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You could prove this identity many ways. You’ll see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ways to approach this in this sheet, both of which are interesting and valid ways of approaching the proof.</w:t>
      </w:r>
    </w:p>
    <w:bookmarkStart w:id="16" w:name="algebraic-method"/>
    <w:p>
      <w:pPr>
        <w:pStyle w:val="Heading2"/>
      </w:pPr>
      <w:r>
        <w:t xml:space="preserve">Algebraic method</w:t>
      </w:r>
    </w:p>
    <w:p>
      <w:pPr>
        <w:pStyle w:val="FirstParagraph"/>
      </w:pPr>
      <w:r>
        <w:t xml:space="preserve">First, an algebraic method: begin by using the above formula to rewrite the left hand side.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Then you can notice that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, hence: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as required!</w:t>
      </w:r>
    </w:p>
    <w:bookmarkEnd w:id="16"/>
    <w:bookmarkStart w:id="17" w:name="counting-method"/>
    <w:p>
      <w:pPr>
        <w:pStyle w:val="Heading2"/>
      </w:pPr>
      <w:r>
        <w:t xml:space="preserve">Counting method</w:t>
      </w:r>
    </w:p>
    <w:p>
      <w:pPr>
        <w:pStyle w:val="FirstParagraph"/>
      </w:pPr>
      <w:r>
        <w:t xml:space="preserve">Another way of approaching this is by a counting argument.</w:t>
      </w:r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is the number of ways of selecting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from a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things. This is equivalent to the number of ways of not selecting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things.</w:t>
      </w:r>
    </w:p>
    <w:p>
      <w:pPr>
        <w:pStyle w:val="BodyText"/>
      </w:pPr>
      <w:r>
        <w:t xml:space="preserve">Imagine having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boxes, a</w:t>
      </w:r>
      <w:r>
        <w:t xml:space="preserve"> </w:t>
      </w:r>
      <w:r>
        <w:t xml:space="preserve">‘pick’</w:t>
      </w:r>
      <w:r>
        <w:t xml:space="preserve"> </w:t>
      </w:r>
      <w:r>
        <w:t xml:space="preserve">box and a</w:t>
      </w:r>
      <w:r>
        <w:t xml:space="preserve"> </w:t>
      </w:r>
      <w:r>
        <w:t xml:space="preserve">‘don’t pick’</w:t>
      </w:r>
      <w:r>
        <w:t xml:space="preserve"> </w:t>
      </w:r>
      <w:r>
        <w:t xml:space="preserve">box. For every way you can put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in the</w:t>
      </w:r>
      <w:r>
        <w:t xml:space="preserve"> </w:t>
      </w:r>
      <w:r>
        <w:t xml:space="preserve">‘pick’</w:t>
      </w:r>
      <w:r>
        <w:t xml:space="preserve"> </w:t>
      </w:r>
      <w:r>
        <w:t xml:space="preserve">box, there’s a way to put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things in the</w:t>
      </w:r>
      <w:r>
        <w:t xml:space="preserve"> </w:t>
      </w:r>
      <w:r>
        <w:t xml:space="preserve">‘don’t pick’</w:t>
      </w:r>
      <w:r>
        <w:t xml:space="preserve"> </w:t>
      </w:r>
      <w:r>
        <w:t xml:space="preserve">box. If you imagine relabeling these boxes you can see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must equal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den>
            </m:f>
          </m:e>
        </m:d>
      </m:oMath>
      <w:r>
        <w:t xml:space="preserve">.</w:t>
      </w:r>
    </w:p>
    <w:bookmarkEnd w:id="17"/>
    <w:bookmarkEnd w:id="18"/>
    <w:bookmarkStart w:id="23" w:name="pascals-identity"/>
    <w:p>
      <w:pPr>
        <w:pStyle w:val="Heading1"/>
      </w:pPr>
      <w:r>
        <w:t xml:space="preserve">Pascal’s identity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Pascal’s identity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Again, you could prove this identity many ways. You’ll see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ways to approach this in this sheet.</w:t>
      </w:r>
    </w:p>
    <w:bookmarkStart w:id="21" w:name="algebraic-method-1"/>
    <w:p>
      <w:pPr>
        <w:pStyle w:val="Heading2"/>
      </w:pPr>
      <w:r>
        <w:t xml:space="preserve">Algebraic method</w:t>
      </w:r>
    </w:p>
    <w:p>
      <w:pPr>
        <w:pStyle w:val="FirstParagraph"/>
      </w:pPr>
      <w:r>
        <w:t xml:space="preserve">First, an algebraic method: begin by using the formula to rewrite the right hand side.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In order to make the denominators equal, you can multiply the left fraction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right fraction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Simplifying and rewriting the right hand side you can get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as required.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</m:oMath>
      </m:oMathPara>
    </w:p>
    <w:bookmarkEnd w:id="21"/>
    <w:bookmarkStart w:id="22" w:name="counting-method-1"/>
    <w:p>
      <w:pPr>
        <w:pStyle w:val="Heading2"/>
      </w:pPr>
      <w:r>
        <w:t xml:space="preserve">Counting method</w:t>
      </w:r>
    </w:p>
    <w:p>
      <w:pPr>
        <w:pStyle w:val="FirstParagraph"/>
      </w:pPr>
      <w:r>
        <w:t xml:space="preserve">Alternatively, you could also approach this with a counting argument.</w:t>
      </w:r>
    </w:p>
    <w:p>
      <w:pPr>
        <w:pStyle w:val="BodyText"/>
      </w:pPr>
      <w:r>
        <w:t xml:space="preserve">Imagine having a collection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items, and picking one. Let’s call this</w:t>
      </w:r>
      <w:r>
        <w:t xml:space="preserve"> </w:t>
      </w:r>
      <w:r>
        <w:t xml:space="preserve">‘star’</w:t>
      </w:r>
      <w:r>
        <w:t xml:space="preserve">. If you want to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elements from the collection, it either includes</w:t>
      </w:r>
      <w:r>
        <w:t xml:space="preserve"> </w:t>
      </w:r>
      <w:r>
        <w:t xml:space="preserve">‘star’</w:t>
      </w:r>
      <w:r>
        <w:t xml:space="preserve"> </w:t>
      </w:r>
      <w:r>
        <w:t xml:space="preserve">or it doesn’t. If it does include</w:t>
      </w:r>
      <w:r>
        <w:t xml:space="preserve"> </w:t>
      </w:r>
      <w:r>
        <w:t xml:space="preserve">‘star’</w:t>
      </w:r>
      <w:r>
        <w:t xml:space="preserve"> </w:t>
      </w:r>
      <w:r>
        <w:t xml:space="preserve">then you need to pick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 from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elements, there are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</m:oMath>
      <w:r>
        <w:t xml:space="preserve"> </w:t>
      </w:r>
      <w:r>
        <w:t xml:space="preserve">ways to do this. If it does not include</w:t>
      </w:r>
      <w:r>
        <w:t xml:space="preserve"> </w:t>
      </w:r>
      <w:r>
        <w:t xml:space="preserve">‘star’</w:t>
      </w:r>
      <w:r>
        <w:t xml:space="preserve"> </w:t>
      </w:r>
      <w:r>
        <w:t xml:space="preserve">then you need to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elements from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elements, there are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ways to do this. Adding these together gives the result.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d>
        </m:oMath>
      </m:oMathPara>
    </w:p>
    <w:bookmarkEnd w:id="22"/>
    <w:bookmarkEnd w:id="23"/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on this topic, please go to</w:t>
      </w:r>
      <w:r>
        <w:t xml:space="preserve"> </w:t>
      </w:r>
      <w:hyperlink r:id="rId9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../studyguides/introtofactorial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introtofactorial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Binomial identities</dc:title>
  <dc:creator>Jessica Taberner</dc:creator>
  <cp:keywords/>
  <dcterms:created xsi:type="dcterms:W3CDTF">2026-09-07T08:58:34Z</dcterms:created>
  <dcterms:modified xsi:type="dcterms:W3CDTF">2026-09-07T08:58:34Z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Proof of binomial identities.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