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Proof: Trigonometric identities</w:t>
      </w:r>
    </w:p>
    <w:p>
      <w:pPr>
        <w:pStyle w:val="Author"/>
      </w:pPr>
      <w:r>
        <w:t xml:space="preserve">Shanelle Advani, Krish Chaudhary, Tom Coleman, Dzhemma Ruseva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Explanations as to why certain trigonometric identities are true.</w:t>
      </w:r>
    </w:p>
    <w:p>
      <w:pPr>
        <w:pStyle w:val="FirstParagraph"/>
      </w:pPr>
      <w:r>
        <w:rPr>
          <w:i/>
          <w:iCs/>
        </w:rPr>
        <w:t xml:space="preserve">Before reading this proof sheet, it is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Trigonometric identities (degrees)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or</w:t>
      </w:r>
      <w:r>
        <w:rPr>
          <w:i/>
          <w:iCs/>
        </w:rPr>
        <w:t xml:space="preserve"> </w:t>
      </w:r>
      <w:hyperlink r:id="rId10">
        <w:r>
          <w:rPr>
            <w:rStyle w:val="Hyperlink"/>
            <w:i/>
            <w:iCs/>
          </w:rPr>
          <w:t xml:space="preserve">Guide: Trigonometric identities (radians)</w:t>
        </w:r>
      </w:hyperlink>
      <w:r>
        <w:rPr>
          <w:i/>
          <w:iCs/>
        </w:rPr>
        <w:t xml:space="preserve">.</w:t>
      </w:r>
    </w:p>
    <w:bookmarkStart w:id="17" w:name="proof-of-pythagorean-identities"/>
    <w:p>
      <w:pPr>
        <w:pStyle w:val="Heading1"/>
      </w:pPr>
      <w:r>
        <w:t xml:space="preserve">Proof of Pythagorean identities</w:t>
      </w:r>
    </w:p>
    <w:p>
      <w:pPr>
        <w:pStyle w:val="FirstParagraph"/>
      </w:pPr>
      <w:r>
        <w:t xml:space="preserve">Remember from</w:t>
      </w:r>
      <w:r>
        <w:t xml:space="preserve"> </w:t>
      </w:r>
      <w:hyperlink r:id="rId9">
        <w:r>
          <w:rPr>
            <w:rStyle w:val="Hyperlink"/>
          </w:rPr>
          <w:t xml:space="preserve">Guide: Trigonometric identities (degrees)</w:t>
        </w:r>
      </w:hyperlink>
      <w:r>
        <w:t xml:space="preserve"> </w:t>
      </w:r>
      <w:r>
        <w:t xml:space="preserve">or</w:t>
      </w:r>
      <w:r>
        <w:t xml:space="preserve"> </w:t>
      </w:r>
      <w:hyperlink r:id="rId10">
        <w:r>
          <w:rPr>
            <w:rStyle w:val="Hyperlink"/>
          </w:rPr>
          <w:t xml:space="preserve">Guide: Trigonometric identities (radians)</w:t>
        </w:r>
      </w:hyperlink>
      <w:r>
        <w:t xml:space="preserve"> </w:t>
      </w:r>
      <w:r>
        <w:t xml:space="preserve">that the</w:t>
      </w:r>
      <w:r>
        <w:t xml:space="preserve"> </w:t>
      </w:r>
      <w:r>
        <w:rPr>
          <w:b/>
          <w:bCs/>
        </w:rPr>
        <w:t xml:space="preserve">Pythagorean identities</w:t>
      </w:r>
      <w:r>
        <w:t xml:space="preserve"> </w:t>
      </w:r>
      <w:r>
        <w:t xml:space="preserve">are:</w:t>
      </w:r>
    </w:p>
    <w:p>
      <w:pPr>
        <w:pStyle w:val="BodyText"/>
      </w:pP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Proof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  <w:p>
            <w:pPr>
              <w:pStyle w:val="BodyText"/>
            </w:pPr>
            <w:pPr>
              <w:spacing w:before="16"/>
            </w:pPr>
            <w:r>
              <w:t xml:space="preserve">You know from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Guide: Trigonometry (degrees)</w:t>
              </w:r>
            </w:hyperlink>
            <w:r>
              <w:t xml:space="preserve"> </w:t>
            </w:r>
            <w:r>
              <w:t xml:space="preserve">or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Guide: Trigonometry (radians)</w:t>
              </w:r>
            </w:hyperlink>
            <w:r>
              <w:t xml:space="preserve"> </w:t>
            </w:r>
            <w:r>
              <w:t xml:space="preserve">that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sin</m:t>
                </m:r>
                <m:r>
                  <m:rPr>
                    <m:sty m:val="p"/>
                  </m:rPr>
                  <m:t>(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cr m:val="sans-serif"/>
                        <m:sty m:val="p"/>
                      </m:rPr>
                      <m:t>opposite</m:t>
                    </m:r>
                  </m:num>
                  <m:den>
                    <m:r>
                      <m:rPr>
                        <m:nor/>
                        <m:scr m:val="sans-serif"/>
                        <m:sty m:val="p"/>
                      </m:rPr>
                      <m:t>hypotenuse</m:t>
                    </m:r>
                  </m:den>
                </m:f>
                <m:r>
                  <m:t> </m:t>
                </m:r>
                <m:r>
                  <m:rPr>
                    <m:nor/>
                    <m:scr m:val="sans-serif"/>
                    <m:sty m:val="p"/>
                  </m:rPr>
                  <m:t> and </m:t>
                </m:r>
                <m:r>
                  <m:t> </m:t>
                </m:r>
                <m:r>
                  <m:rPr>
                    <m:sty m:val="p"/>
                  </m:rPr>
                  <m:t>cos</m:t>
                </m:r>
                <m:r>
                  <m:rPr>
                    <m:sty m:val="p"/>
                  </m:rPr>
                  <m:t>(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cr m:val="sans-serif"/>
                        <m:sty m:val="p"/>
                      </m:rPr>
                      <m:t>adjacent</m:t>
                    </m:r>
                  </m:num>
                  <m:den>
                    <m:r>
                      <m:rPr>
                        <m:nor/>
                        <m:scr m:val="sans-serif"/>
                        <m:sty m:val="p"/>
                      </m:rPr>
                      <m:t>hypotenuse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You can shorten these to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for opposite,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adjacent and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for hypotenuse. Rearranging gives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From Pythagoras’ Theorem, you also know that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O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Replacing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with the expressions above, you get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H</m:t>
                    </m:r>
                    <m:r>
                      <m:rPr>
                        <m:sty m:val="p"/>
                      </m:rPr>
                      <m:t>cos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H</m:t>
                    </m:r>
                    <m:r>
                      <m:rPr>
                        <m:sty m:val="p"/>
                      </m:rPr>
                      <m:t>sin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H</m:t>
                    </m:r>
                  </m:e>
                  <m:sup>
                    <m:r>
                      <m:t>2</m:t>
                    </m:r>
                  </m:sup>
                </m:sSup>
              </m:oMath>
            </m:oMathPara>
          </w:p>
          <w:p>
            <w:pPr>
              <w:pStyle w:val="FirstParagraph"/>
            </w:pPr>
            <w:r>
              <w:t xml:space="preserve">Using the laws of indices (see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Guide: Laws of indices</w:t>
              </w:r>
            </w:hyperlink>
            <w:r>
              <w:t xml:space="preserve">), and using the standard notation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you can write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H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cos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H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H</m:t>
                    </m:r>
                  </m:e>
                  <m:sup>
                    <m:r>
                      <m:t>2</m:t>
                    </m:r>
                  </m:sup>
                </m:sSup>
              </m:oMath>
            </m:oMathPara>
          </w:p>
          <w:p>
            <w:pPr>
              <w:pStyle w:val="FirstParagraph"/>
            </w:pPr>
            <w:r>
              <w:t xml:space="preserve">Divide everything by the non-zero</w:t>
            </w:r>
            <w:r>
              <w:t xml:space="preserve"> </w:t>
            </w:r>
            <m:oMath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to get: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p>
                      <m:e>
                        <m:r>
                          <m:t>H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sSup>
                      <m:e>
                        <m:r>
                          <m:rPr>
                            <m:sty m:val="p"/>
                          </m:rPr>
                          <m:t>cos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sSup>
                      <m:e>
                        <m:r>
                          <m:t>H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H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sSup>
                      <m:e>
                        <m:r>
                          <m:rPr>
                            <m:sty m:val="p"/>
                          </m:rPr>
                          <m:t>sin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sSup>
                      <m:e>
                        <m:r>
                          <m:t>H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H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sSup>
                      <m:e>
                        <m:r>
                          <m:t>H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Therefore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</w:tc>
      </w:tr>
    </w:tbl>
    <w:bookmarkEnd w:id="17"/>
    <w:bookmarkStart w:id="18" w:name="proof-of-sum-identities"/>
    <w:p>
      <w:pPr>
        <w:pStyle w:val="Heading1"/>
      </w:pPr>
      <w:r>
        <w:t xml:space="preserve">Proof of sum identities</w:t>
      </w:r>
    </w:p>
    <w:bookmarkEnd w:id="18"/>
    <w:bookmarkStart w:id="21" w:name="further-reading"/>
    <w:p>
      <w:pPr>
        <w:pStyle w:val="Heading1"/>
      </w:pPr>
      <w:r>
        <w:t xml:space="preserve">Further reading</w:t>
      </w:r>
    </w:p>
    <w:p>
      <w:pPr>
        <w:pStyle w:val="FirstParagraph"/>
      </w:pPr>
      <w:hyperlink r:id="rId9">
        <w:r>
          <w:rPr>
            <w:rStyle w:val="Hyperlink"/>
          </w:rPr>
          <w:t xml:space="preserve">Guide: Trigonometric identities (degrees)</w:t>
        </w:r>
      </w:hyperlink>
    </w:p>
    <w:p>
      <w:pPr>
        <w:pStyle w:val="BodyText"/>
      </w:pPr>
      <w:hyperlink r:id="rId19">
        <w:r>
          <w:rPr>
            <w:rStyle w:val="Hyperlink"/>
          </w:rPr>
          <w:t xml:space="preserve">Questions: Trigonometric identities (degrees)</w:t>
        </w:r>
      </w:hyperlink>
    </w:p>
    <w:bookmarkStart w:id="20" w:name="version-history"/>
    <w:p>
      <w:pPr>
        <w:pStyle w:val="Heading2"/>
      </w:pPr>
      <w:r>
        <w:t xml:space="preserve">Version history</w:t>
      </w:r>
    </w:p>
    <w:p>
      <w:pPr>
        <w:pStyle w:val="FirstParagraph"/>
      </w:pPr>
      <w:r>
        <w:t xml:space="preserve">v1.0: created in 04/24 by tdhc.</w:t>
      </w:r>
    </w:p>
    <w:bookmarkEnd w:id="20"/>
    <w:bookmarkEnd w:id="21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19" Target="../questions/qs-trigonometricidentities-degrees.qmd" TargetMode="External" /><Relationship Type="http://schemas.openxmlformats.org/officeDocument/2006/relationships/hyperlink" Id="rId16" Target="../studyguides/lawsofindices.qmd" TargetMode="External" /><Relationship Type="http://schemas.openxmlformats.org/officeDocument/2006/relationships/hyperlink" Id="rId9" Target="../studyguides/trigonometricidentities-degrees.qmd" TargetMode="External" /><Relationship Type="http://schemas.openxmlformats.org/officeDocument/2006/relationships/hyperlink" Id="rId10" Target="../studyguides/trigonometricidentities-radians.qmd" TargetMode="External" /><Relationship Type="http://schemas.openxmlformats.org/officeDocument/2006/relationships/hyperlink" Id="rId14" Target="../studyguides/trigonometry-degrees.qmd" TargetMode="External" /><Relationship Type="http://schemas.openxmlformats.org/officeDocument/2006/relationships/hyperlink" Id="rId15" Target="../studyguides/trigonometry-radian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../questions/qs-trigonometricidentities-degrees.qmd" TargetMode="External" /><Relationship Type="http://schemas.openxmlformats.org/officeDocument/2006/relationships/hyperlink" Id="rId16" Target="../studyguides/lawsofindices.qmd" TargetMode="External" /><Relationship Type="http://schemas.openxmlformats.org/officeDocument/2006/relationships/hyperlink" Id="rId9" Target="../studyguides/trigonometricidentities-degrees.qmd" TargetMode="External" /><Relationship Type="http://schemas.openxmlformats.org/officeDocument/2006/relationships/hyperlink" Id="rId10" Target="../studyguides/trigonometricidentities-radians.qmd" TargetMode="External" /><Relationship Type="http://schemas.openxmlformats.org/officeDocument/2006/relationships/hyperlink" Id="rId14" Target="../studyguides/trigonometry-degrees.qmd" TargetMode="External" /><Relationship Type="http://schemas.openxmlformats.org/officeDocument/2006/relationships/hyperlink" Id="rId15" Target="../studyguides/trigonometry-radian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Proof: Trigonometric identities</dc:title>
  <dc:creator>Shanelle Advani, Krish Chaudhary, Tom Coleman, Dzhemma Ruseva</dc:creator>
  <cp:keywords/>
  <dcterms:created xsi:type="dcterms:W3CDTF">2026-09-07T08:59:06Z</dcterms:created>
  <dcterms:modified xsi:type="dcterms:W3CDTF">2026-09-07T08:59:06Z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Explanations as to why certain trigonometric identities are true.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draft">
    <vt:lpwstr>True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