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54.png" ContentType="image/png"/>
  <Override PartName="/word/media/rId50.png" ContentType="image/png"/>
  <Override PartName="/word/media/rId24.png" ContentType="image/png"/>
  <Override PartName="/word/media/rId2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Expected value, variance, standard deviation</w:t>
        </w:r>
      </w:hyperlink>
      <w:r>
        <w:rPr>
          <w:i/>
          <w:iCs/>
        </w:rPr>
        <w:t xml:space="preserve">, and</w:t>
      </w:r>
      <w:r>
        <w:rPr>
          <w:i/>
          <w:iCs/>
        </w:rPr>
        <w:t xml:space="preserve"> </w:t>
      </w:r>
      <w:hyperlink r:id="rId22">
        <w:r>
          <w:rPr>
            <w:rStyle w:val="Hyperlink"/>
            <w:i/>
            <w:iCs/>
          </w:rPr>
          <w:t xml:space="preserve">Guide: PMFs, PDFs, CDFs</w:t>
        </w:r>
      </w:hyperlink>
      <w:r>
        <w:rPr>
          <w:i/>
          <w:iCs/>
        </w:rPr>
        <w:t xml:space="preserve">.</w:t>
      </w:r>
    </w:p>
    <w:bookmarkStart w:id="23"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23"/>
    <w:bookmarkStart w:id="36"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21">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36"/>
    <w:bookmarkStart w:id="37"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37"/>
    <w:bookmarkStart w:id="42"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d>
          <m:dPr>
            <m:begChr m:val="("/>
            <m:sepChr m:val=""/>
            <m:endChr m:val=")"/>
            <m:grow/>
          </m:dPr>
          <m:e>
            <m:r>
              <m:t>5</m:t>
            </m:r>
            <m:r>
              <m:rPr>
                <m:sty m:val="p"/>
              </m:rPr>
              <m:t>%</m:t>
            </m:r>
          </m:e>
        </m:d>
      </m:oMath>
      <w:r>
        <w:t xml:space="preserve">,</w:t>
      </w:r>
      <w:r>
        <w:t xml:space="preserve"> </w:t>
      </w:r>
      <m:oMath>
        <m:r>
          <m:t>0.01</m:t>
        </m:r>
      </m:oMath>
      <w:r>
        <w:t xml:space="preserve"> </w:t>
      </w:r>
      <m:oMath>
        <m:d>
          <m:dPr>
            <m:begChr m:val="("/>
            <m:sepChr m:val=""/>
            <m:endChr m:val=")"/>
            <m:grow/>
          </m:dPr>
          <m:e>
            <m:r>
              <m:t>1</m:t>
            </m:r>
            <m:r>
              <m:rPr>
                <m:sty m:val="p"/>
              </m:rPr>
              <m:t>%</m:t>
            </m:r>
          </m:e>
        </m:d>
      </m:oMath>
      <w:r>
        <w:t xml:space="preserve"> </w:t>
      </w:r>
      <w:r>
        <w:t xml:space="preserve">or</w:t>
      </w:r>
      <w:r>
        <w:t xml:space="preserve"> </w:t>
      </w:r>
      <m:oMath>
        <m:r>
          <m:t>0.10</m:t>
        </m:r>
      </m:oMath>
      <w:r>
        <w:t xml:space="preserve"> </w:t>
      </w:r>
      <m:oMath>
        <m:d>
          <m:dPr>
            <m:begChr m:val="("/>
            <m:sepChr m:val=""/>
            <m:endChr m:val=")"/>
            <m:grow/>
          </m:dPr>
          <m:e>
            <m:r>
              <m:t>10</m:t>
            </m:r>
            <m:r>
              <m:rPr>
                <m:sty m:val="p"/>
              </m:rPr>
              <m:t>%</m:t>
            </m:r>
          </m:e>
        </m:d>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42"/>
    <w:bookmarkStart w:id="62"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22">
        <w:r>
          <w:rPr>
            <w:rStyle w:val="Hyperlink"/>
          </w:rPr>
          <w:t xml:space="preserve">Guide: PMFs, PDFs, CDFs</w:t>
        </w:r>
      </w:hyperlink>
      <w:r>
        <w:t xml:space="preserve"> </w:t>
      </w:r>
      <w:r>
        <w:t xml:space="preserve">and</w:t>
      </w:r>
      <w:r>
        <w:t xml:space="preserve"> </w:t>
      </w:r>
      <w:hyperlink r:id="rId43">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d>
          <m:dPr>
            <m:begChr m:val="("/>
            <m:sepChr m:val=""/>
            <m:endChr m:val=")"/>
            <m:grow/>
          </m:dPr>
          <m:e>
            <m:r>
              <m:t>x</m:t>
            </m:r>
          </m:e>
        </m:d>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d>
          <m:dPr>
            <m:begChr m:val="("/>
            <m:sepChr m:val=""/>
            <m:endChr m:val=")"/>
            <m:grow/>
          </m:dPr>
          <m:e>
            <m:r>
              <m:t>x</m:t>
            </m:r>
          </m:e>
        </m:d>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d>
            <m:dPr>
              <m:begChr m:val="("/>
              <m:sepChr m:val=""/>
              <m:endChr m:val=")"/>
              <m:grow/>
            </m:dPr>
            <m:e>
              <m:r>
                <m:t>x</m:t>
              </m:r>
            </m:e>
          </m:d>
          <m:r>
            <m:t> </m:t>
          </m:r>
          <m:r>
            <m:rPr>
              <m:nor/>
              <m:sty m:val="p"/>
            </m:rPr>
            <m:t>d</m:t>
          </m:r>
          <m:r>
            <m:t>x</m:t>
          </m:r>
          <m:r>
            <m:rPr>
              <m:sty m:val="p"/>
            </m:rPr>
            <m:t>=</m:t>
          </m:r>
          <m:f>
            <m:fPr>
              <m:type m:val="bar"/>
            </m:fPr>
            <m:num>
              <m:r>
                <m:t>α</m:t>
              </m:r>
            </m:num>
            <m:den>
              <m:r>
                <m:t>2</m:t>
              </m:r>
            </m:den>
          </m:f>
          <m:r>
            <m:t> </m:t>
          </m:r>
          <m:r>
            <m:rPr>
              <m:nor/>
              <m:sty m:val="p"/>
              <m:scr m:val="sans-serif"/>
            </m:rPr>
            <m:t>and</m:t>
          </m:r>
          <m:r>
            <m:t> </m:t>
          </m:r>
          <m:nary>
            <m:naryPr>
              <m:chr m:val="∫"/>
              <m:limLoc m:val="subSup"/>
              <m:subHide m:val="off"/>
              <m:supHide m:val="off"/>
            </m:naryPr>
            <m:sub>
              <m:sSub>
                <m:e>
                  <m:r>
                    <m:t>z</m:t>
                  </m:r>
                </m:e>
                <m:sub>
                  <m:r>
                    <m:t>2</m:t>
                  </m:r>
                </m:sub>
              </m:sSub>
            </m:sub>
            <m:sup>
              <m:r>
                <m:rPr>
                  <m:sty m:val="p"/>
                </m:rPr>
                <m:t>∞</m:t>
              </m:r>
            </m:sup>
            <m:e>
              <m:r>
                <m:t>f</m:t>
              </m:r>
            </m:e>
          </m:nary>
          <m:d>
            <m:dPr>
              <m:begChr m:val="("/>
              <m:sepChr m:val=""/>
              <m:endChr m:val=")"/>
              <m:grow/>
            </m:dPr>
            <m:e>
              <m:r>
                <m:t>x</m:t>
              </m:r>
            </m:e>
          </m:d>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5755521" cy="2186608"/>
                  <wp:effectExtent b="0" l="0" r="0" t="0"/>
                  <wp:docPr descr="" title="" id="51" name="Picture"/>
                  <a:graphic>
                    <a:graphicData uri="http://schemas.openxmlformats.org/drawingml/2006/picture">
                      <pic:pic>
                        <pic:nvPicPr>
                          <pic:cNvPr descr="./FiguresPNG/hypothesistesting-fig3-3.png" id="52" name="Picture"/>
                          <pic:cNvPicPr>
                            <a:picLocks noChangeArrowheads="1" noChangeAspect="1"/>
                          </pic:cNvPicPr>
                        </pic:nvPicPr>
                        <pic:blipFill>
                          <a:blip r:embed="rId50"/>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2"/>
          <w:p>
            <w:pPr>
              <w:pStyle w:val="Compact"/>
              <w:jc w:val="center"/>
            </w:pPr>
            <w:r>
              <w:drawing>
                <wp:inline>
                  <wp:extent cx="5755521" cy="2186608"/>
                  <wp:effectExtent b="0" l="0" r="0" t="0"/>
                  <wp:docPr descr="" title="" id="55" name="Picture"/>
                  <a:graphic>
                    <a:graphicData uri="http://schemas.openxmlformats.org/drawingml/2006/picture">
                      <pic:pic>
                        <pic:nvPicPr>
                          <pic:cNvPr descr="./FiguresPNG/hypothesistesting-fig2-2.png" id="56" name="Picture"/>
                          <pic:cNvPicPr>
                            <a:picLocks noChangeArrowheads="1" noChangeAspect="1"/>
                          </pic:cNvPicPr>
                        </pic:nvPicPr>
                        <pic:blipFill>
                          <a:blip r:embed="rId54"/>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fig-3"/>
          <w:p>
            <w:pPr>
              <w:pStyle w:val="Compact"/>
              <w:jc w:val="center"/>
            </w:pPr>
            <w:r>
              <w:drawing>
                <wp:inline>
                  <wp:extent cx="5755521" cy="2186608"/>
                  <wp:effectExtent b="0" l="0" r="0" t="0"/>
                  <wp:docPr descr="" title="" id="59" name="Picture"/>
                  <a:graphic>
                    <a:graphicData uri="http://schemas.openxmlformats.org/drawingml/2006/picture">
                      <pic:pic>
                        <pic:nvPicPr>
                          <pic:cNvPr descr="./FiguresPNG/hypothesistesting-fig1-1.png" id="60" name="Picture"/>
                          <pic:cNvPicPr>
                            <a:picLocks noChangeArrowheads="1" noChangeAspect="1"/>
                          </pic:cNvPicPr>
                        </pic:nvPicPr>
                        <pic:blipFill>
                          <a:blip r:embed="rId58"/>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61"/>
        </w:tc>
      </w:tr>
    </w:tbl>
    <w:bookmarkEnd w:id="62"/>
    <w:bookmarkStart w:id="71"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70">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71"/>
    <w:bookmarkStart w:id="72"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75"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2026-02-26T15:29:16Z</dcterms:created>
  <dcterms:modified xsi:type="dcterms:W3CDTF">2026-02-26T15:29:16Z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FiguresPNG/hypothesistesting-image.png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