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20">
        <w:r>
          <w:rPr>
            <w:rStyle w:val="Hyperlink"/>
            <w:i/>
            <w:iCs/>
          </w:rPr>
          <w:t xml:space="preserve">Guide: The scalar product</w:t>
        </w:r>
      </w:hyperlink>
      <w:r>
        <w:rPr>
          <w:i/>
          <w:iCs/>
        </w:rPr>
        <w:t xml:space="preserve">. In addition, reading</w:t>
      </w:r>
      <w:r>
        <w:rPr>
          <w:i/>
          <w:iCs/>
        </w:rPr>
        <w:t xml:space="preserve"> </w:t>
      </w:r>
      <w:hyperlink r:id="rId21">
        <w:r>
          <w:rPr>
            <w:rStyle w:val="Hyperlink"/>
            <w:i/>
            <w:iCs/>
          </w:rPr>
          <w:t xml:space="preserve">Guide: Introduction to vectors</w:t>
        </w:r>
      </w:hyperlink>
      <w:r>
        <w:rPr>
          <w:i/>
          <w:iCs/>
        </w:rPr>
        <w:t xml:space="preserve"> </w:t>
      </w:r>
      <w:r>
        <w:rPr>
          <w:i/>
          <w:iCs/>
        </w:rPr>
        <w:t xml:space="preserve">and</w:t>
      </w:r>
      <w:r>
        <w:rPr>
          <w:i/>
          <w:iCs/>
        </w:rPr>
        <w:t xml:space="preserve"> </w:t>
      </w:r>
      <w:hyperlink r:id="rId22">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23">
        <w:r>
          <w:rPr>
            <w:rStyle w:val="Hyperlink"/>
            <w:i/>
            <w:iCs/>
          </w:rPr>
          <w:t xml:space="preserve">Guide: Trigonometry (degrees)</w:t>
        </w:r>
      </w:hyperlink>
      <w:r>
        <w:rPr>
          <w:i/>
          <w:iCs/>
        </w:rPr>
        <w:t xml:space="preserve"> </w:t>
      </w:r>
      <w:r>
        <w:rPr>
          <w:i/>
          <w:iCs/>
        </w:rPr>
        <w:t xml:space="preserve">or</w:t>
      </w:r>
      <w:r>
        <w:rPr>
          <w:i/>
          <w:iCs/>
        </w:rPr>
        <w:t xml:space="preserve"> </w:t>
      </w:r>
      <w:hyperlink r:id="rId24">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43" w:name="proof-of-properties-1-5"/>
    <w:p>
      <w:pPr>
        <w:pStyle w:val="Heading1"/>
      </w:pPr>
      <w:r>
        <w:t xml:space="preserve">Proof of properties (1) – (5)</w:t>
      </w:r>
    </w:p>
    <w:bookmarkStart w:id="30"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30"/>
    <w:bookmarkStart w:id="33"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33"/>
    <w:bookmarkStart w:id="36"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36"/>
    <w:bookmarkStart w:id="39"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39"/>
    <w:bookmarkStart w:id="42"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sSup>
            <m:e>
              <m:d>
                <m:dPr>
                  <m:begChr m:val="|"/>
                  <m:sepChr m:val=""/>
                  <m:endChr m:val="|"/>
                  <m:grow/>
                </m:dPr>
                <m:e>
                  <m:r>
                    <m:rPr>
                      <m:sty m:val="b"/>
                    </m:rPr>
                    <m:t>a</m:t>
                  </m:r>
                </m:e>
              </m:d>
            </m:e>
            <m:sup>
              <m:r>
                <m:t>2</m:t>
              </m:r>
            </m:sup>
          </m:sSup>
          <m:r>
            <m:rPr>
              <m:sty m:val="p"/>
            </m:rPr>
            <m:t>.</m:t>
          </m:r>
        </m:oMath>
      </m:oMathPara>
    </w:p>
    <w:bookmarkEnd w:id="42"/>
    <w:bookmarkEnd w:id="43"/>
    <w:bookmarkStart w:id="48"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w:t>
      </w:r>
    </w:p>
    <w:p>
      <w:pPr>
        <w:pStyle w:val="BodyText"/>
      </w:pPr>
      <w:r>
        <w:t xml:space="preserve">In order to prove the equivalence of these definitions, you will need properties (1), (3) and (5) from</w:t>
      </w:r>
      <w:r>
        <w:t xml:space="preserve"> </w:t>
      </w:r>
      <w:hyperlink r:id="rId20">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4"/>
          <w:p>
            <w:pPr>
              <w:pStyle w:val="Compact"/>
              <w:jc w:val="center"/>
            </w:pPr>
            <w:r>
              <w:drawing>
                <wp:inline>
                  <wp:extent cx="2971800" cy="767425"/>
                  <wp:effectExtent b="0" l="0" r="0" t="0"/>
                  <wp:docPr descr="" title="" id="45" name="Picture"/>
                  <a:graphic>
                    <a:graphicData uri="http://schemas.openxmlformats.org/drawingml/2006/picture">
                      <pic:pic>
                        <pic:nvPicPr>
                          <pic:cNvPr descr="./FiguresPNG/vectortriangle-fig1.png" id="46" name="Picture"/>
                          <pic:cNvPicPr>
                            <a:picLocks noChangeArrowheads="1" noChangeAspect="1"/>
                          </pic:cNvPicPr>
                        </pic:nvPicPr>
                        <pic:blipFill>
                          <a:blip r:embed="rId44"/>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47"/>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d>
          <m:dPr>
            <m:begChr m:val="("/>
            <m:sepChr m:val=""/>
            <m:endChr m:val=")"/>
            <m:grow/>
          </m:dPr>
          <m:e>
            <m:r>
              <m:t>θ</m:t>
            </m:r>
          </m:e>
        </m:d>
      </m:oMath>
      <w:r>
        <w:t xml:space="preserve">. Looking at the diagram again,</w:t>
      </w:r>
      <w:r>
        <w:t xml:space="preserve"> </w:t>
      </w:r>
      <m:oMath>
        <m:r>
          <m:t>l</m:t>
        </m:r>
        <m:r>
          <m:rPr>
            <m:sty m:val="p"/>
          </m:rPr>
          <m:t>=</m:t>
        </m:r>
        <m:r>
          <m:t>b</m:t>
        </m:r>
        <m:r>
          <m:rPr>
            <m:sty m:val="p"/>
          </m:rPr>
          <m:t>cos</m:t>
        </m:r>
        <m:d>
          <m:dPr>
            <m:begChr m:val="("/>
            <m:sepChr m:val=""/>
            <m:endChr m:val=")"/>
            <m:grow/>
          </m:dPr>
          <m:e>
            <m:r>
              <m:t>θ</m:t>
            </m:r>
          </m:e>
        </m:d>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d>
            <m:dPr>
              <m:begChr m:val="("/>
              <m:sepChr m:val=""/>
              <m:endChr m:val=")"/>
              <m:grow/>
            </m:dPr>
            <m:e>
              <m:r>
                <m:t>θ</m:t>
              </m:r>
            </m:e>
          </m:d>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d>
            <m:dPr>
              <m:begChr m:val="("/>
              <m:sepChr m:val=""/>
              <m:endChr m:val=")"/>
              <m:grow/>
            </m:dPr>
            <m:e>
              <m:r>
                <m:t>θ</m:t>
              </m:r>
            </m:e>
          </m:d>
          <m:r>
            <m:rPr>
              <m:sty m:val="p"/>
            </m:rPr>
            <m:t>+</m:t>
          </m:r>
          <m:sSup>
            <m:e>
              <m:d>
                <m:dPr>
                  <m:begChr m:val="("/>
                  <m:sepChr m:val=""/>
                  <m:endChr m:val=")"/>
                  <m:grow/>
                </m:dPr>
                <m:e>
                  <m:r>
                    <m:t>a</m:t>
                  </m:r>
                  <m:r>
                    <m:rPr>
                      <m:sty m:val="p"/>
                    </m:rPr>
                    <m:t>−</m:t>
                  </m:r>
                  <m:r>
                    <m:t>b</m:t>
                  </m:r>
                  <m:r>
                    <m:rPr>
                      <m:sty m:val="p"/>
                    </m:rPr>
                    <m:t>cos</m:t>
                  </m:r>
                  <m:d>
                    <m:dPr>
                      <m:begChr m:val="("/>
                      <m:sepChr m:val=""/>
                      <m:endChr m:val=")"/>
                      <m:grow/>
                    </m:dPr>
                    <m:e>
                      <m:r>
                        <m:t>θ</m:t>
                      </m:r>
                    </m:e>
                  </m:d>
                </m:e>
              </m:d>
            </m:e>
            <m:sup>
              <m:r>
                <m:t>2</m:t>
              </m:r>
            </m:sup>
          </m:sSup>
          <m:r>
            <m:rPr>
              <m:sty m:val="p"/>
            </m:rPr>
            <m:t>=</m:t>
          </m:r>
          <m:sSup>
            <m:e>
              <m:r>
                <m:t>c</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Using property (5) from above:</w:t>
      </w:r>
    </w:p>
    <w:p>
      <w:pPr>
        <w:pStyle w:val="BodyText"/>
      </w:pPr>
      <m:oMathPara>
        <m:oMathParaPr>
          <m:jc m:val="center"/>
        </m:oMathParaPr>
        <m:oMath>
          <m:sSup>
            <m:e>
              <m:d>
                <m:dPr>
                  <m:begChr m:val="|"/>
                  <m:sepChr m:val=""/>
                  <m:endChr m:val="|"/>
                  <m:grow/>
                </m:dPr>
                <m:e>
                  <m:r>
                    <m:rPr>
                      <m:sty m:val="b"/>
                    </m:rPr>
                    <m:t>b</m:t>
                  </m:r>
                  <m:r>
                    <m:rPr>
                      <m:sty m:val="p"/>
                    </m:rPr>
                    <m:t>−</m:t>
                  </m:r>
                  <m:r>
                    <m:rPr>
                      <m:sty m:val="b"/>
                    </m:rPr>
                    <m:t>a</m:t>
                  </m:r>
                </m:e>
              </m:d>
            </m:e>
            <m:sup>
              <m:r>
                <m:t>2</m:t>
              </m:r>
            </m:sup>
          </m:sSup>
          <m:r>
            <m:rPr>
              <m:sty m:val="p"/>
            </m:rPr>
            <m:t>=</m:t>
          </m:r>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oMath>
      </m:oMathPara>
    </w:p>
    <w:p>
      <w:pPr>
        <w:pStyle w:val="FirstParagraph"/>
      </w:pPr>
      <w:r>
        <w:t xml:space="preserve">Using property (1), property (3) and property (5),</w:t>
      </w:r>
    </w:p>
    <w:p>
      <w:pPr>
        <w:pStyle w:val="BodyText"/>
      </w:pPr>
      <m:oMathPara>
        <m:oMathParaPr>
          <m:jc m:val="center"/>
        </m:oMathParaPr>
        <m:oMath>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sSup>
            <m:e>
              <m:d>
                <m:dPr>
                  <m:begChr m:val="|"/>
                  <m:sepChr m:val=""/>
                  <m:endChr m:val="|"/>
                  <m:grow/>
                </m:dPr>
                <m:e>
                  <m:r>
                    <m:rPr>
                      <m:sty m:val="b"/>
                    </m:rPr>
                    <m:t>b</m:t>
                  </m:r>
                </m:e>
              </m:d>
            </m:e>
            <m:sup>
              <m:r>
                <m:t>2</m:t>
              </m:r>
            </m:sup>
          </m:sSup>
          <m:r>
            <m:rPr>
              <m:sty m:val="p"/>
            </m:rPr>
            <m:t>−</m:t>
          </m:r>
          <m:r>
            <m:t>2</m:t>
          </m:r>
          <m:r>
            <m:rPr>
              <m:sty m:val="b"/>
            </m:rPr>
            <m:t>a</m:t>
          </m:r>
          <m:r>
            <m:rPr>
              <m:sty m:val="p"/>
            </m:rPr>
            <m:t>⋅</m:t>
          </m:r>
          <m:r>
            <m:rPr>
              <m:sty m:val="b"/>
            </m:rPr>
            <m:t>b</m:t>
          </m:r>
          <m:r>
            <m:rPr>
              <m:sty m:val="p"/>
            </m:rPr>
            <m:t>+</m:t>
          </m:r>
          <m:sSup>
            <m:e>
              <m:d>
                <m:dPr>
                  <m:begChr m:val="|"/>
                  <m:sepChr m:val=""/>
                  <m:endChr m:val="|"/>
                  <m:grow/>
                </m:dPr>
                <m:e>
                  <m:r>
                    <m:rPr>
                      <m:sty m:val="b"/>
                    </m:rPr>
                    <m:t>a</m:t>
                  </m:r>
                </m:e>
              </m:d>
            </m:e>
            <m:sup>
              <m:r>
                <m:t>2</m:t>
              </m:r>
            </m:sup>
          </m:sSup>
        </m:oMath>
      </m:oMathPara>
    </w:p>
    <w:p>
      <w:pPr>
        <w:pStyle w:val="FirstParagraph"/>
      </w:pPr>
      <w:r>
        <w:t xml:space="preserve">Remember from above that</w:t>
      </w:r>
      <w:r>
        <w:t xml:space="preserve"> </w:t>
      </w:r>
      <m:oMath>
        <m:sSup>
          <m:e>
            <m:d>
              <m:dPr>
                <m:begChr m:val="|"/>
                <m:sepChr m:val=""/>
                <m:endChr m:val="|"/>
                <m:grow/>
              </m:dPr>
              <m:e>
                <m:r>
                  <m:rPr>
                    <m:sty m:val="b"/>
                  </m:rPr>
                  <m:t>a</m:t>
                </m:r>
              </m:e>
            </m:d>
          </m:e>
          <m:sup>
            <m:r>
              <m:t>2</m:t>
            </m:r>
          </m:sup>
        </m:sSup>
        <m:r>
          <m:rPr>
            <m:sty m:val="p"/>
          </m:rPr>
          <m:t>=</m:t>
        </m:r>
        <m:sSup>
          <m:e>
            <m:r>
              <m:t>a</m:t>
            </m:r>
          </m:e>
          <m:sup>
            <m:r>
              <m:t>2</m:t>
            </m:r>
          </m:sup>
        </m:sSup>
      </m:oMath>
      <w:r>
        <w:t xml:space="preserve"> </w:t>
      </w:r>
      <w:r>
        <w:t xml:space="preserve">and</w:t>
      </w:r>
      <w:r>
        <w:t xml:space="preserve"> </w:t>
      </w:r>
      <m:oMath>
        <m:sSup>
          <m:e>
            <m:d>
              <m:dPr>
                <m:begChr m:val="|"/>
                <m:sepChr m:val=""/>
                <m:endChr m:val="|"/>
                <m:grow/>
              </m:dPr>
              <m:e>
                <m:r>
                  <m:rPr>
                    <m:sty m:val="b"/>
                  </m:rPr>
                  <m:t>b</m:t>
                </m:r>
              </m:e>
            </m:d>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d>
            <m:dPr>
              <m:begChr m:val="("/>
              <m:sepChr m:val=""/>
              <m:endChr m:val=")"/>
              <m:grow/>
            </m:dPr>
            <m:e>
              <m:r>
                <m:t>θ</m:t>
              </m:r>
            </m:e>
          </m:d>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 </w:t>
      </w:r>
      <w:r>
        <w:t xml:space="preserve">as required.</w:t>
      </w:r>
    </w:p>
    <w:bookmarkEnd w:id="48"/>
    <w:bookmarkStart w:id="55" w:name="proof-of-properties-6-and-7"/>
    <w:p>
      <w:pPr>
        <w:pStyle w:val="Heading1"/>
      </w:pPr>
      <w:r>
        <w:t xml:space="preserve">Proof of properties (6) and (7)</w:t>
      </w:r>
    </w:p>
    <w:bookmarkStart w:id="51"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d>
          <m:dPr>
            <m:begChr m:val="("/>
            <m:sepChr m:val=""/>
            <m:endChr m:val=")"/>
            <m:grow/>
          </m:dPr>
          <m:e>
            <m:r>
              <m:t>0</m:t>
            </m:r>
          </m:e>
        </m:d>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0</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1</m:t>
              </m:r>
            </m:e>
          </m:d>
          <m:r>
            <m:rPr>
              <m:sty m:val="p"/>
            </m:rPr>
            <m:t>=</m:t>
          </m:r>
          <m:d>
            <m:dPr>
              <m:begChr m:val="|"/>
              <m:sepChr m:val=""/>
              <m:endChr m:val="|"/>
              <m:grow/>
            </m:dPr>
            <m:e>
              <m:r>
                <m:rPr>
                  <m:sty m:val="b"/>
                </m:rPr>
                <m:t>a</m:t>
              </m:r>
            </m:e>
          </m:d>
          <m:d>
            <m:dPr>
              <m:begChr m:val="|"/>
              <m:sepChr m:val=""/>
              <m:endChr m:val="|"/>
              <m:grow/>
            </m:dPr>
            <m:e>
              <m:r>
                <m:rPr>
                  <m:sty m:val="b"/>
                </m:rPr>
                <m:t>b</m:t>
              </m:r>
            </m:e>
          </m:d>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rPr>
                  <m:sty m:val="p"/>
                </m:rPr>
                <m:t>−</m:t>
              </m:r>
              <m:r>
                <m:t>1</m:t>
              </m:r>
            </m:e>
          </m:d>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bookmarkEnd w:id="51"/>
    <w:bookmarkStart w:id="54"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r>
                <m:rPr>
                  <m:sty m:val="p"/>
                </m:rPr>
                <m:t>/</m:t>
              </m:r>
              <m:r>
                <m:t>2</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0</m:t>
              </m:r>
            </m:e>
          </m:d>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d>
          <m:dPr>
            <m:begChr m:val="("/>
            <m:sepChr m:val=""/>
            <m:endChr m:val=")"/>
            <m:grow/>
          </m:dPr>
          <m:e>
            <m:r>
              <m:t>θ</m:t>
            </m:r>
          </m:e>
        </m:d>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d>
          <m:dPr>
            <m:begChr m:val="("/>
            <m:sepChr m:val=""/>
            <m:endChr m:val=")"/>
            <m:grow/>
          </m:dPr>
          <m:e>
            <m:r>
              <m:t>θ</m:t>
            </m:r>
          </m:e>
        </m:d>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54"/>
    <w:bookmarkEnd w:id="55"/>
    <w:bookmarkStart w:id="59" w:name="further-reading"/>
    <w:p>
      <w:pPr>
        <w:pStyle w:val="Heading1"/>
      </w:pPr>
      <w:r>
        <w:t xml:space="preserve">Further reading</w:t>
      </w:r>
    </w:p>
    <w:p>
      <w:pPr>
        <w:pStyle w:val="FirstParagraph"/>
      </w:pPr>
      <w:hyperlink r:id="rId20">
        <w:r>
          <w:rPr>
            <w:rStyle w:val="Hyperlink"/>
          </w:rPr>
          <w:t xml:space="preserve">Click this link to go back to Guide: The scalar product.</w:t>
        </w:r>
      </w:hyperlink>
    </w:p>
    <w:p>
      <w:pPr>
        <w:pStyle w:val="BodyText"/>
      </w:pPr>
      <w:hyperlink r:id="rId56">
        <w:r>
          <w:rPr>
            <w:rStyle w:val="Hyperlink"/>
          </w:rPr>
          <w:t xml:space="preserve">For questions on this topic, please go to Questions: The scalar product.</w:t>
        </w:r>
      </w:hyperlink>
    </w:p>
    <w:bookmarkStart w:id="58"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5" Target="media/rId25.png" /><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2026-04-04T12:51:06Z</dcterms:created>
  <dcterms:modified xsi:type="dcterms:W3CDTF">2026-04-04T12:51:06Z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