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41.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 [Factsheet: t-distribution]((../factsheets/t-dist.qmd).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p/>
        </w:tc>
      </w:tr>
    </w:tbl>
    <w:bookmarkEnd w:id="35"/>
    <w:bookmarkStart w:id="3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p/>
        </w:tc>
      </w:tr>
    </w:tbl>
    <w:bookmarkEnd w:id="38"/>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4</w:t>
            </w:r>
          </w:p>
        </w:tc>
      </w:tr>
      <w:tr>
        <w:trPr>
          <w:cantSplit/>
        </w:trPr>
        <w:tc>
          <w:tcPr>
            <w:tcMar>
              <w:top w:w="108" w:type="dxa"/>
              <w:bottom w:w="108" w:type="dxa"/>
            </w:tcMar>
          </w:tcPr>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5</w:t>
            </w:r>
          </w:p>
        </w:tc>
      </w:tr>
      <w:tr>
        <w:trPr>
          <w:cantSplit/>
        </w:trPr>
        <w:tc>
          <w:tcPr>
            <w:tcMar>
              <w:top w:w="108" w:type="dxa"/>
              <w:bottom w:w="108" w:type="dxa"/>
            </w:tcMar>
          </w:tcPr>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oe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w:t>
            </w:r>
          </w:p>
        </w:tc>
      </w:tr>
      <w:tr>
        <w:trPr>
          <w:cantSplit/>
        </w:trPr>
        <w:tc>
          <w:tcPr>
            <w:tcMar>
              <w:top w:w="108" w:type="dxa"/>
              <w:bottom w:w="108" w:type="dxa"/>
            </w:tcMar>
          </w:tcPr>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11"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8</w:t>
            </w:r>
          </w:p>
        </w:tc>
      </w:tr>
      <w:tr>
        <w:trPr>
          <w:cantSplit/>
        </w:trPr>
        <w:tc>
          <w:tcPr>
            <w:tcMar>
              <w:top w:w="108" w:type="dxa"/>
              <w:bottom w:w="108" w:type="dxa"/>
            </w:tcMar>
          </w:tcPr>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9</w:t>
            </w:r>
          </w:p>
        </w:tc>
      </w:tr>
      <w:tr>
        <w:trPr>
          <w:cantSplit/>
        </w:trPr>
        <w:tc>
          <w:tcPr>
            <w:tcMar>
              <w:top w:w="108" w:type="dxa"/>
              <w:bottom w:w="108" w:type="dxa"/>
            </w:tcMar>
          </w:tcPr>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t xml:space="preserve">*-test,** 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10</w:t>
            </w:r>
          </w:p>
        </w:tc>
      </w:tr>
      <w:tr>
        <w:trPr>
          <w:cantSplit/>
        </w:trPr>
        <w:tc>
          <w:tcPr>
            <w:tcMar>
              <w:top w:w="108" w:type="dxa"/>
              <w:bottom w:w="108" w:type="dxa"/>
            </w:tcMar>
          </w:tcPr>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11</w:t>
            </w:r>
          </w:p>
        </w:tc>
      </w:tr>
      <w:tr>
        <w:trPr>
          <w:cantSplit/>
        </w:trPr>
        <w:tc>
          <w:tcPr>
            <w:tcMar>
              <w:top w:w="108" w:type="dxa"/>
              <w:bottom w:w="108" w:type="dxa"/>
            </w:tcMar>
          </w:tcPr>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oMath>
            </m:oMathPara>
          </w:p>
          <w:p>
            <w:pPr>
              <w:pStyle w:val="FirstParagraph"/>
            </w:pPr>
            <w:r>
              <w:rPr>
                <w:b/>
                <w:bCs/>
              </w:rPr>
              <w:t xml:space="preserve">to 4 d.p.</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12</w:t>
            </w:r>
          </w:p>
        </w:tc>
      </w:tr>
      <w:tr>
        <w:trPr>
          <w:cantSplit/>
        </w:trPr>
        <w:tc>
          <w:tcPr>
            <w:tcMar>
              <w:top w:w="108" w:type="dxa"/>
              <w:bottom w:w="108" w:type="dxa"/>
            </w:tcMar>
          </w:tcPr>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oMath>
            </m:oMathPara>
          </w:p>
          <w:p>
            <w:pPr>
              <w:pStyle w:val="FirstParagraph"/>
            </w:pPr>
            <w:r>
              <w:rPr>
                <w:b/>
                <w:bCs/>
              </w:rPr>
              <w:t xml:space="preserve">to 4 d.p.</w:t>
            </w:r>
          </w:p>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10"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13</w:t>
            </w:r>
          </w:p>
        </w:tc>
      </w:tr>
      <w:tr>
        <w:trPr>
          <w:cantSplit/>
        </w:trPr>
        <w:tc>
          <w:tcPr>
            <w:tcMar>
              <w:top w:w="108" w:type="dxa"/>
              <w:bottom w:w="108" w:type="dxa"/>
            </w:tcMar>
          </w:tcPr>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14</w:t>
            </w:r>
          </w:p>
        </w:tc>
      </w:tr>
      <w:tr>
        <w:trPr>
          <w:cantSplit/>
        </w:trPr>
        <w:tc>
          <w:tcPr>
            <w:tcMar>
              <w:top w:w="108" w:type="dxa"/>
              <w:bottom w:w="108" w:type="dxa"/>
            </w:tcMar>
          </w:tcPr>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p/>
        </w:tc>
      </w:tr>
    </w:tbl>
    <w:bookmarkEnd w:id="110"/>
    <w:bookmarkEnd w:id="111"/>
    <w:bookmarkStart w:id="11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2"/>
    <w:bookmarkStart w:id="116" w:name="further-reading"/>
    <w:p>
      <w:pPr>
        <w:pStyle w:val="Heading1"/>
      </w:pPr>
      <w:r>
        <w:t xml:space="preserve">Further reading</w:t>
      </w:r>
    </w:p>
    <w:p>
      <w:pPr>
        <w:pStyle w:val="FirstParagraph"/>
      </w:pPr>
      <w:hyperlink r:id="rId11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4">
        <w:r>
          <w:rPr>
            <w:rStyle w:val="Hyperlink"/>
          </w:rPr>
          <w:t xml:space="preserve">This work is licensed under CC BY-NC-SA 4.0.</w:t>
        </w:r>
      </w:hyperlink>
    </w:p>
    <w:bookmarkEnd w:id="115"/>
    <w:bookmarkEnd w:id="1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2026-04-04T12:48:40Z</dcterms:created>
  <dcterms:modified xsi:type="dcterms:W3CDTF">2026-04-04T12:48:40Z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