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31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32">
        <w:r>
          <w:rPr>
            <w:rStyle w:val="Hyperlink"/>
          </w:rPr>
          <w:t xml:space="preserve">For information on ANOVA, please go to Guide: ANOVA</w:t>
        </w:r>
      </w:hyperlink>
    </w:p>
    <w:bookmarkStart w:id="3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2" Target="../studyguides/anova.qmd" TargetMode="External" /><Relationship Type="http://schemas.openxmlformats.org/officeDocument/2006/relationships/hyperlink" Id="rId30" Target="../studyguides/hypothesistesting.qmd" TargetMode="External" /><Relationship Type="http://schemas.openxmlformats.org/officeDocument/2006/relationships/hyperlink" Id="rId31" Target="../studyguides/t-testing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studyguides/anova.qmd" TargetMode="External" /><Relationship Type="http://schemas.openxmlformats.org/officeDocument/2006/relationships/hyperlink" Id="rId30" Target="../studyguides/hypothesistesting.qmd" TargetMode="External" /><Relationship Type="http://schemas.openxmlformats.org/officeDocument/2006/relationships/hyperlink" Id="rId31" Target="../studyguides/t-testing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2026-06-07T12:02:31Z</dcterms:created>
  <dcterms:modified xsi:type="dcterms:W3CDTF">2026-06-07T12:02:31Z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