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fractions</w:t>
        </w:r>
      </w:hyperlink>
      <w:r>
        <w:rPr>
          <w:i/>
          <w:iCs/>
        </w:rPr>
        <w:t xml:space="preserve">,</w:t>
      </w:r>
      <w:r>
        <w:rPr>
          <w:i/>
          <w:iCs/>
        </w:rPr>
        <w:t xml:space="preserve"> </w:t>
      </w:r>
      <w:hyperlink r:id="rId21">
        <w:r>
          <w:rPr>
            <w:rStyle w:val="Hyperlink"/>
            <w:i/>
            <w:iCs/>
          </w:rPr>
          <w:t xml:space="preserve">Guide: Arithmetic on fractions</w:t>
        </w:r>
      </w:hyperlink>
      <w:r>
        <w:rPr>
          <w:i/>
          <w:iCs/>
        </w:rPr>
        <w:t xml:space="preserve"> </w:t>
      </w:r>
      <w:r>
        <w:rPr>
          <w:i/>
          <w:iCs/>
        </w:rPr>
        <w:t xml:space="preserve">and</w:t>
      </w:r>
      <w:r>
        <w:rPr>
          <w:i/>
          <w:iCs/>
        </w:rPr>
        <w:t xml:space="preserve"> </w:t>
      </w:r>
      <w:hyperlink r:id="rId22">
        <w:r>
          <w:rPr>
            <w:rStyle w:val="Hyperlink"/>
            <w:i/>
            <w:iCs/>
          </w:rPr>
          <w:t xml:space="preserve">Guide: Factorization</w:t>
        </w:r>
      </w:hyperlink>
      <w:r>
        <w:rPr>
          <w:i/>
          <w:iCs/>
        </w:rPr>
        <w:t xml:space="preserve">.</w:t>
      </w:r>
    </w:p>
    <w:bookmarkStart w:id="23" w:name="what-is-an-algebraic-fraction"/>
    <w:p>
      <w:pPr>
        <w:pStyle w:val="Heading1"/>
      </w:pPr>
      <w:r>
        <w:t xml:space="preserve">What is an algebraic fraction?</w:t>
      </w:r>
    </w:p>
    <w:p>
      <w:pPr>
        <w:pStyle w:val="FirstParagraph"/>
      </w:pPr>
      <w:r>
        <w:t xml:space="preserve">In</w:t>
      </w:r>
      <w:r>
        <w:t xml:space="preserve"> </w:t>
      </w:r>
      <w:hyperlink r:id="rId20">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23"/>
    <w:bookmarkStart w:id="45"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d>
                      <m:dPr>
                        <m:begChr m:val="("/>
                        <m:sepChr m:val=""/>
                        <m:endChr m:val=")"/>
                        <m:grow/>
                      </m:dPr>
                      <m:e>
                        <m:r>
                          <m:t>x</m:t>
                        </m:r>
                        <m:r>
                          <m:rPr>
                            <m:sty m:val="p"/>
                          </m:rPr>
                          <m:t>−</m:t>
                        </m:r>
                        <m:r>
                          <m:t>1</m:t>
                        </m:r>
                      </m:e>
                    </m:d>
                    <m:d>
                      <m:dPr>
                        <m:begChr m:val="("/>
                        <m:sepChr m:val=""/>
                        <m:endChr m:val=")"/>
                        <m:grow/>
                      </m:dPr>
                      <m:e>
                        <m:r>
                          <m:t>x</m:t>
                        </m:r>
                        <m:r>
                          <m:rPr>
                            <m:sty m:val="p"/>
                          </m:rPr>
                          <m:t>+</m:t>
                        </m:r>
                        <m:r>
                          <m:t>4</m:t>
                        </m:r>
                      </m:e>
                    </m:d>
                  </m:den>
                </m:f>
              </m:oMath>
            </m:oMathPara>
          </w:p>
          <w:p>
            <w:pPr>
              <w:pStyle w:val="FirstParagraph"/>
            </w:pPr>
            <w:pPr>
              <w:spacing w:after="16"/>
            </w:pPr>
            <w:r>
              <w:t xml:space="preserve">Here the denominator is</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oMath>
            <w:r>
              <w:t xml:space="preserve">. The fraction is undefined when</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ty m:val="p"/>
                    <m:scr m:val="sans-serif"/>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ty m:val="p"/>
                    <m:scr m:val="sans-serif"/>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ty m:val="p"/>
                    <m:scr m:val="sans-serif"/>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45"/>
    <w:bookmarkStart w:id="52"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ty m:val="p"/>
                    <m:scr m:val="sans-serif"/>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ty m:val="p"/>
                    <m:scr m:val="sans-serif"/>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d>
                      <m:dPr>
                        <m:begChr m:val="("/>
                        <m:sepChr m:val=""/>
                        <m:endChr m:val=")"/>
                        <m:grow/>
                      </m:dPr>
                      <m:e>
                        <m:r>
                          <m:t>t</m:t>
                        </m:r>
                        <m:r>
                          <m:rPr>
                            <m:sty m:val="p"/>
                          </m:rPr>
                          <m:t>+</m:t>
                        </m:r>
                        <m:r>
                          <m:t>1</m:t>
                        </m:r>
                      </m:e>
                    </m:d>
                  </m:num>
                  <m:den>
                    <m:r>
                      <m:t>x</m:t>
                    </m:r>
                    <m:d>
                      <m:dPr>
                        <m:begChr m:val="("/>
                        <m:sepChr m:val=""/>
                        <m:endChr m:val=")"/>
                        <m:grow/>
                      </m:dPr>
                      <m:e>
                        <m:r>
                          <m:t>t</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tc>
      </w:tr>
    </w:tbl>
    <w:bookmarkEnd w:id="52"/>
    <w:bookmarkStart w:id="67"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d>
                <m:dPr>
                  <m:begChr m:val="("/>
                  <m:sepChr m:val=""/>
                  <m:endChr m:val=")"/>
                  <m:grow/>
                </m:dPr>
                <m:e>
                  <m:r>
                    <m:t>x</m:t>
                  </m:r>
                  <m:r>
                    <m:rPr>
                      <m:sty m:val="p"/>
                    </m:rPr>
                    <m:t>+</m:t>
                  </m:r>
                  <m:r>
                    <m:t>3</m:t>
                  </m:r>
                </m:e>
              </m:d>
            </m:oMath>
            <w:r>
              <w:t xml:space="preserve">, both</w:t>
            </w:r>
            <w:r>
              <w:t xml:space="preserve"> </w:t>
            </w:r>
            <m:oMath>
              <m:r>
                <m:t>x</m:t>
              </m:r>
            </m:oMath>
            <w:r>
              <w:t xml:space="preserve"> </w:t>
            </w:r>
            <w:r>
              <w:t xml:space="preserve">and</w:t>
            </w:r>
            <w:r>
              <w:t xml:space="preserve"> </w:t>
            </w:r>
            <m:oMath>
              <m:d>
                <m:dPr>
                  <m:begChr m:val="("/>
                  <m:sepChr m:val=""/>
                  <m:endChr m:val=")"/>
                  <m:grow/>
                </m:dPr>
                <m:e>
                  <m:r>
                    <m:t>x</m:t>
                  </m:r>
                  <m:r>
                    <m:rPr>
                      <m:sty m:val="p"/>
                    </m:rPr>
                    <m:t>+</m:t>
                  </m:r>
                  <m:r>
                    <m:t>3</m:t>
                  </m:r>
                </m:e>
              </m:d>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22">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d>
                      <m:dPr>
                        <m:begChr m:val="("/>
                        <m:sepChr m:val=""/>
                        <m:endChr m:val=")"/>
                        <m:grow/>
                      </m:dPr>
                      <m:e>
                        <m:r>
                          <m:t>x</m:t>
                        </m:r>
                        <m:r>
                          <m:rPr>
                            <m:sty m:val="p"/>
                          </m:rPr>
                          <m:t>+</m:t>
                        </m:r>
                        <m:r>
                          <m:t>3</m:t>
                        </m:r>
                      </m:e>
                    </m:d>
                  </m:num>
                  <m:den>
                    <m:r>
                      <m:t>x</m:t>
                    </m:r>
                  </m:den>
                </m:f>
                <m:r>
                  <m:rPr>
                    <m:sty m:val="p"/>
                  </m:rPr>
                  <m:t>=</m:t>
                </m:r>
                <m:r>
                  <m:t>x</m:t>
                </m:r>
                <m:r>
                  <m:rPr>
                    <m:sty m:val="p"/>
                  </m:rPr>
                  <m:t>+</m:t>
                </m:r>
                <m:r>
                  <m:t>3</m:t>
                </m:r>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r>
                      <m:rPr>
                        <m:sty m:val="p"/>
                      </m:rPr>
                      <m:t>+</m:t>
                    </m:r>
                    <m:r>
                      <m:t>3</m:t>
                    </m:r>
                  </m:num>
                  <m:den>
                    <m:r>
                      <m:t>x</m:t>
                    </m:r>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d>
                  <m:dPr>
                    <m:begChr m:val="("/>
                    <m:sepChr m:val=""/>
                    <m:endChr m:val=")"/>
                    <m:grow/>
                  </m:dPr>
                  <m:e>
                    <m:r>
                      <m:t>x</m:t>
                    </m:r>
                    <m:r>
                      <m:rPr>
                        <m:sty m:val="p"/>
                      </m:rPr>
                      <m:t>+</m:t>
                    </m:r>
                    <m:r>
                      <m:t>y</m:t>
                    </m:r>
                  </m:e>
                </m:d>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d>
                  <m:dPr>
                    <m:begChr m:val="("/>
                    <m:sepChr m:val=""/>
                    <m:endChr m:val=")"/>
                    <m:grow/>
                  </m:dPr>
                  <m:e>
                    <m:r>
                      <m:t>x</m:t>
                    </m:r>
                    <m:r>
                      <m:rPr>
                        <m:sty m:val="p"/>
                      </m:rPr>
                      <m:t>+</m:t>
                    </m:r>
                    <m:r>
                      <m:t>y</m:t>
                    </m:r>
                  </m:e>
                </m:d>
                <m:d>
                  <m:dPr>
                    <m:begChr m:val="("/>
                    <m:sepChr m:val=""/>
                    <m:endChr m:val=")"/>
                    <m:grow/>
                  </m:dPr>
                  <m:e>
                    <m:r>
                      <m:t>x</m:t>
                    </m:r>
                    <m:r>
                      <m:rPr>
                        <m:sty m:val="p"/>
                      </m:rPr>
                      <m:t>−</m:t>
                    </m:r>
                    <m:r>
                      <m:t>y</m:t>
                    </m:r>
                  </m:e>
                </m:d>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d>
                      <m:dPr>
                        <m:begChr m:val="("/>
                        <m:sepChr m:val=""/>
                        <m:endChr m:val=")"/>
                        <m:grow/>
                      </m:dPr>
                      <m:e>
                        <m:r>
                          <m:t>x</m:t>
                        </m:r>
                        <m:r>
                          <m:rPr>
                            <m:sty m:val="p"/>
                          </m:rPr>
                          <m:t>+</m:t>
                        </m:r>
                        <m:r>
                          <m:t>y</m:t>
                        </m:r>
                      </m:e>
                    </m:d>
                  </m:num>
                  <m:den>
                    <m:d>
                      <m:dPr>
                        <m:begChr m:val="("/>
                        <m:sepChr m:val=""/>
                        <m:endChr m:val=")"/>
                        <m:grow/>
                      </m:dPr>
                      <m:e>
                        <m:r>
                          <m:t>x</m:t>
                        </m:r>
                        <m:r>
                          <m:rPr>
                            <m:sty m:val="p"/>
                          </m:rPr>
                          <m:t>+</m:t>
                        </m:r>
                        <m:r>
                          <m:t>y</m:t>
                        </m:r>
                      </m:e>
                    </m:d>
                    <m:d>
                      <m:dPr>
                        <m:begChr m:val="("/>
                        <m:sepChr m:val=""/>
                        <m:endChr m:val=")"/>
                        <m:grow/>
                      </m:dPr>
                      <m:e>
                        <m:r>
                          <m:t>x</m:t>
                        </m:r>
                        <m:r>
                          <m:rPr>
                            <m:sty m:val="p"/>
                          </m:rPr>
                          <m:t>−</m:t>
                        </m:r>
                        <m:r>
                          <m:t>y</m:t>
                        </m:r>
                      </m:e>
                    </m:d>
                  </m:den>
                </m:f>
                <m:r>
                  <m:rPr>
                    <m:sty m:val="p"/>
                  </m:rPr>
                  <m:t>=</m:t>
                </m:r>
                <m:f>
                  <m:fPr>
                    <m:type m:val="bar"/>
                  </m:fPr>
                  <m:num>
                    <m:r>
                      <m:t>t</m:t>
                    </m:r>
                  </m:num>
                  <m:den>
                    <m:r>
                      <m:t>x</m:t>
                    </m:r>
                    <m:r>
                      <m:rPr>
                        <m:sty m:val="p"/>
                      </m:rPr>
                      <m:t>−</m:t>
                    </m:r>
                    <m:r>
                      <m:t>y</m:t>
                    </m:r>
                  </m:den>
                </m:f>
                <m:r>
                  <m:t>  </m:t>
                </m:r>
                <m:r>
                  <m:rPr>
                    <m:nor/>
                    <m:sty m:val="p"/>
                    <m:scr m:val="sans-serif"/>
                  </m:rPr>
                  <m:t>if </m:t>
                </m:r>
                <m:r>
                  <m:t> </m:t>
                </m:r>
                <m:r>
                  <m:t>x</m:t>
                </m:r>
                <m:r>
                  <m:rPr>
                    <m:sty m:val="p"/>
                  </m:rPr>
                  <m:t>≠</m:t>
                </m:r>
                <m:r>
                  <m:rPr>
                    <m:sty m:val="p"/>
                  </m:rPr>
                  <m:t>±</m:t>
                </m:r>
                <m:r>
                  <m:t>y</m:t>
                </m:r>
                <m:r>
                  <m:rPr>
                    <m:sty m:val="p"/>
                  </m:rPr>
                  <m:t>.</m:t>
                </m:r>
              </m:oMath>
            </m:oMathPara>
          </w:p>
        </w:tc>
      </w:tr>
    </w:tbl>
    <w:bookmarkEnd w:id="67"/>
    <w:bookmarkStart w:id="68"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d>
              <m:dPr>
                <m:begChr m:val="("/>
                <m:sepChr m:val=""/>
                <m:endChr m:val=")"/>
                <m:grow/>
              </m:dPr>
              <m:e>
                <m:r>
                  <m:t>x</m:t>
                </m:r>
                <m:r>
                  <m:rPr>
                    <m:sty m:val="p"/>
                  </m:rPr>
                  <m:t>−</m:t>
                </m:r>
                <m:r>
                  <m:t>4</m:t>
                </m:r>
              </m:e>
            </m:d>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68"/>
    <w:bookmarkStart w:id="73"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algebraic fractions.</w:t>
        </w:r>
      </w:hyperlink>
    </w:p>
    <w:p>
      <w:pPr>
        <w:pStyle w:val="BodyText"/>
      </w:pPr>
      <w:hyperlink r:id="rId70">
        <w:r>
          <w:rPr>
            <w:rStyle w:val="Hyperlink"/>
          </w:rPr>
          <w:t xml:space="preserve">To learn how to perform arithmetic on algebraic fractions, please see Guide: Arithmetic on algebraic fractions.</w:t>
        </w:r>
      </w:hyperlink>
    </w:p>
    <w:bookmarkStart w:id="72"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hyperlink" Id="rId69" Target="../questions/qs-introtoalgebraicfractions.qmd" TargetMode="External" /><Relationship Type="http://schemas.openxmlformats.org/officeDocument/2006/relationships/hyperlink" Id="rId70"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algebraicfractions.qmd" TargetMode="External" /><Relationship Type="http://schemas.openxmlformats.org/officeDocument/2006/relationships/hyperlink" Id="rId70"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2026-06-07T12:08:37Z</dcterms:created>
  <dcterms:modified xsi:type="dcterms:W3CDTF">2026-06-07T12:08:37Z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FiguresPNG/introtoalgebraicfractions-image.png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