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60.png" ContentType="image/png"/>
  <Override PartName="/word/media/rId52.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20">
        <w:r>
          <w:rPr>
            <w:rStyle w:val="Hyperlink"/>
            <w:i/>
            <w:iCs/>
          </w:rPr>
          <w:t xml:space="preserve">Guide: Expected value, variance, standard deviation</w:t>
        </w:r>
      </w:hyperlink>
      <w:r>
        <w:rPr>
          <w:i/>
          <w:iCs/>
        </w:rPr>
        <w:t xml:space="preserve">.</w:t>
      </w:r>
    </w:p>
    <w:bookmarkStart w:id="21"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The guide will also explore the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21"/>
    <w:bookmarkStart w:id="73"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ty m:val="p"/>
                  <m:scr m:val="double-struck"/>
                </m:rPr>
                <m:t>E</m:t>
              </m:r>
              <m:d>
                <m:dPr>
                  <m:begChr m:val="("/>
                  <m:sepChr m:val=""/>
                  <m:endChr m:val=")"/>
                  <m:grow/>
                </m:dPr>
                <m:e>
                  <m:r>
                    <m:t>Y</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20">
              <w:r>
                <w:rPr>
                  <w:rStyle w:val="Hyperlink"/>
                </w:rPr>
                <w:t xml:space="preserve">Guide: Expected value, variance, standard deviation</w:t>
              </w:r>
            </w:hyperlink>
            <w:r>
              <w:t xml:space="preserve">. For more about explanatory and response variables, please see</w:t>
            </w:r>
            <w:r>
              <w:t xml:space="preserve"> </w:t>
            </w:r>
            <w:hyperlink r:id="rId30">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36" name="Picture"/>
            <a:graphic>
              <a:graphicData uri="http://schemas.openxmlformats.org/drawingml/2006/picture">
                <pic:pic>
                  <pic:nvPicPr>
                    <pic:cNvPr descr="./FiguresPNG/linearregression-fig4.png" id="37" name="Picture"/>
                    <pic:cNvPicPr>
                      <a:picLocks noChangeArrowheads="1" noChangeAspect="1"/>
                    </pic:cNvPicPr>
                  </pic:nvPicPr>
                  <pic:blipFill>
                    <a:blip r:embed="rId35"/>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39" name="Picture"/>
            <a:graphic>
              <a:graphicData uri="http://schemas.openxmlformats.org/drawingml/2006/picture">
                <pic:pic>
                  <pic:nvPicPr>
                    <pic:cNvPr descr="./FiguresPNG/linearregression-fig5.png" id="40" name="Picture"/>
                    <pic:cNvPicPr>
                      <a:picLocks noChangeArrowheads="1" noChangeAspect="1"/>
                    </pic:cNvPicPr>
                  </pic:nvPicPr>
                  <pic:blipFill>
                    <a:blip r:embed="rId38"/>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ty m:val="p"/>
                  <m:scr m:val="double-struck"/>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and its corresponding estimated value is given by:</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p/>
        </w:tc>
      </w:tr>
    </w:tbl>
    <w:bookmarkStart w:id="66" w:name="least-squares-estimation"/>
    <w:p>
      <w:pPr>
        <w:pStyle w:val="Heading2"/>
      </w:pPr>
      <w:r>
        <w:t xml:space="preserve">Least squares estimation</w:t>
      </w:r>
    </w:p>
    <w:bookmarkStart w:id="47"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ty m:val="p"/>
                  <m:scr m:val="double-struck"/>
                </m:rPr>
                <m:t>E</m:t>
              </m:r>
              <m:d>
                <m:dPr>
                  <m:begChr m:val="("/>
                  <m:sepChr m:val=""/>
                  <m:endChr m:val=")"/>
                  <m:grow/>
                </m:dPr>
                <m:e>
                  <m:sSub>
                    <m:e>
                      <m:r>
                        <m:t>Y</m:t>
                      </m:r>
                    </m:e>
                    <m:sub>
                      <m:r>
                        <m:t>i</m:t>
                      </m:r>
                    </m:sub>
                  </m:sSub>
                </m:e>
              </m:d>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ty m:val="p"/>
                  <m:scr m:val="double-struck"/>
                </m:rPr>
                <m:t>E</m:t>
              </m:r>
              <m:d>
                <m:dPr>
                  <m:begChr m:val="("/>
                  <m:sepChr m:val=""/>
                  <m:endChr m:val=")"/>
                  <m:grow/>
                </m:dPr>
                <m:e>
                  <m:sSub>
                    <m:e>
                      <m:r>
                        <m:t>Y</m:t>
                      </m:r>
                    </m:e>
                    <m:sub>
                      <m:r>
                        <m:t>i</m:t>
                      </m:r>
                    </m:sub>
                  </m:sSub>
                </m:e>
              </m:d>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ty m:val="p"/>
                    <m:scr m:val="double-struck"/>
                  </m:rPr>
                  <m:t>E</m:t>
                </m:r>
                <m:d>
                  <m:dPr>
                    <m:begChr m:val="("/>
                    <m:sepChr m:val=""/>
                    <m:endChr m:val=")"/>
                    <m:grow/>
                  </m:dPr>
                  <m:e>
                    <m:sSub>
                      <m:e>
                        <m:r>
                          <m:t>Y</m:t>
                        </m:r>
                      </m:e>
                      <m:sub>
                        <m:r>
                          <m:t>i</m:t>
                        </m:r>
                      </m:sub>
                    </m:sSub>
                  </m:e>
                </m:d>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47"/>
    <w:bookmarkStart w:id="50" w:name="method-of-least-squares"/>
    <w:p>
      <w:pPr>
        <w:pStyle w:val="Heading3"/>
      </w:pPr>
      <w:r>
        <w:t xml:space="preserve">Method of least squares</w:t>
      </w:r>
    </w:p>
    <w:p>
      <w:pPr>
        <w:pStyle w:val="FirstParagraph"/>
      </w:pPr>
      <w:r>
        <w:t xml:space="preserve">Ideally, you want</w:t>
      </w:r>
      <w:r>
        <w:t xml:space="preserve"> </w:t>
      </w:r>
      <m:oMath>
        <m:r>
          <m:rPr>
            <m:sty m:val="p"/>
            <m:scr m:val="double-struck"/>
          </m:rPr>
          <m:t>E</m:t>
        </m:r>
        <m:d>
          <m:dPr>
            <m:begChr m:val="("/>
            <m:sepChr m:val=""/>
            <m:endChr m:val=")"/>
            <m:grow/>
          </m:dPr>
          <m:e>
            <m:sSub>
              <m:e>
                <m:r>
                  <m:t>Y</m:t>
                </m:r>
              </m:e>
              <m:sub>
                <m:r>
                  <m:t>i</m:t>
                </m:r>
              </m:sub>
            </m:sSub>
          </m:e>
        </m:d>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d>
                <m:dPr>
                  <m:begChr m:val="("/>
                  <m:sepChr m:val=""/>
                  <m:endChr m:val=")"/>
                  <m:grow/>
                </m:dPr>
                <m:e>
                  <m:r>
                    <m:t>α</m:t>
                  </m:r>
                  <m:r>
                    <m:rPr>
                      <m:sty m:val="p"/>
                    </m:rPr>
                    <m:t>,</m:t>
                  </m:r>
                  <m:r>
                    <m:t>β</m:t>
                  </m:r>
                </m:e>
              </m:d>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bookmarkEnd w:id="50"/>
    <w:bookmarkStart w:id="65" w:name="Xe4a508018e2c1fcc2460a48a3b158da4831fd5f"/>
    <w:p>
      <w:pPr>
        <w:pStyle w:val="Heading3"/>
      </w:pPr>
      <w:r>
        <w:t xml:space="preserve">Finding estimates of the regression parameters</w:t>
      </w:r>
    </w:p>
    <w:p>
      <w:pPr>
        <w:pStyle w:val="FirstParagraph"/>
      </w:pPr>
      <w:r>
        <w:t xml:space="preserve">To find estimates for the regression parameters, the following terminology is used:</w:t>
      </w:r>
    </w:p>
    <w:p>
      <w:pPr>
        <w:pStyle w:val="Compact"/>
        <w:numPr>
          <w:ilvl w:val="0"/>
          <w:numId w:val="1002"/>
        </w:numPr>
      </w:pP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Compact"/>
        <w:numPr>
          <w:ilvl w:val="0"/>
          <w:numId w:val="1002"/>
        </w:numPr>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Compac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p>
      <w:pPr>
        <w:pStyle w:val="Compact"/>
        <w:numPr>
          <w:ilvl w:val="0"/>
          <w:numId w:val="1002"/>
        </w:numPr>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Compac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oMath>
      </m:oMathPara>
    </w:p>
    <w:p>
      <w:pPr>
        <w:pStyle w:val="FirstParagraph"/>
      </w:pPr>
      <w:r>
        <w:t xml:space="preserve">(For more detail about these terms, please read</w:t>
      </w:r>
      <w:r>
        <w:t xml:space="preserve"> </w:t>
      </w:r>
      <w:hyperlink r:id="rId51">
        <w:r>
          <w:rPr>
            <w:rStyle w:val="Hyperlink"/>
          </w:rPr>
          <w:t xml:space="preserve">Overview: Statistical notation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num>
            <m:den>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doing this method is by using calculus. You can differentiate</w:t>
            </w:r>
            <w:r>
              <w:t xml:space="preserve"> </w:t>
            </w:r>
            <m:oMath>
              <m:r>
                <m:t>S</m:t>
              </m:r>
              <m:d>
                <m:dPr>
                  <m:begChr m:val="("/>
                  <m:sepChr m:val=""/>
                  <m:endChr m:val=")"/>
                  <m:grow/>
                </m:dPr>
                <m:e>
                  <m:r>
                    <m:t>α</m:t>
                  </m:r>
                  <m:r>
                    <m:rPr>
                      <m:sty m:val="p"/>
                    </m:rPr>
                    <m:t>,</m:t>
                  </m:r>
                  <m:r>
                    <m:t>β</m:t>
                  </m:r>
                </m:e>
              </m:d>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57">
              <w:r>
                <w:rPr>
                  <w:rStyle w:val="Hyperlink"/>
                </w:rPr>
                <w:t xml:space="preserve">Guide: Introduction to differentiation</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ty m:val="p"/>
                  <m:scr m:val="double-struck"/>
                </m:rPr>
                <m:t>E</m:t>
              </m:r>
              <m:d>
                <m:dPr>
                  <m:begChr m:val="("/>
                  <m:sepChr m:val=""/>
                  <m:endChr m:val=")"/>
                  <m:grow/>
                </m:dPr>
                <m:e>
                  <m:sSub>
                    <m:e>
                      <m:r>
                        <m:t>Y</m:t>
                      </m:r>
                    </m:e>
                    <m:sub>
                      <m:r>
                        <m:t>i</m:t>
                      </m:r>
                    </m:sub>
                  </m:sSub>
                </m:e>
              </m:d>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61" name="Picture"/>
            <a:graphic>
              <a:graphicData uri="http://schemas.openxmlformats.org/drawingml/2006/picture">
                <pic:pic>
                  <pic:nvPicPr>
                    <pic:cNvPr descr="./FiguresPNG/linearregression-fig6.png" id="62" name="Picture"/>
                    <pic:cNvPicPr>
                      <a:picLocks noChangeArrowheads="1" noChangeAspect="1"/>
                    </pic:cNvPicPr>
                  </pic:nvPicPr>
                  <pic:blipFill>
                    <a:blip r:embed="rId60"/>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p>
      <w:pPr>
        <w:pStyle w:val="BodyText"/>
      </w:pPr>
      <w:r>
        <w:t xml:space="preserve">Now, here’s how to use least squares to find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ty m:val="p"/>
                  <m:scr m:val="double-struck"/>
                </m:rPr>
                <m:t>E</m:t>
              </m:r>
              <m:d>
                <m:dPr>
                  <m:begChr m:val="("/>
                  <m:sepChr m:val=""/>
                  <m:endChr m:val=")"/>
                  <m:grow/>
                </m:dPr>
                <m:e>
                  <m:r>
                    <m:t>Y</m:t>
                  </m:r>
                </m:e>
              </m:d>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(as seen in</w:t>
            </w:r>
            <w:r>
              <w:t xml:space="preserve"> </w:t>
            </w:r>
            <w:hyperlink r:id="rId51">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x</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mr>
                  <m:mr>
                    <m:e>
                      <m:acc>
                        <m:accPr>
                          <m:chr m:val="‾"/>
                        </m:accPr>
                        <m:e>
                          <m:r>
                            <m:t>y</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mr>
                </m:m>
              </m:oMath>
            </m:oMathPara>
          </w:p>
          <w:p>
            <w:pPr>
              <w:pStyle w:val="FirstParagraph"/>
            </w:pP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S</m:t>
                      </m:r>
                      <m:sSub>
                        <m:e>
                          <m:r>
                            <m:t>S</m:t>
                          </m:r>
                        </m:e>
                        <m:sub>
                          <m:r>
                            <m:t>X</m:t>
                          </m:r>
                          <m:r>
                            <m:t>Y</m:t>
                          </m:r>
                        </m:sub>
                      </m:sSub>
                    </m:e>
                    <m:e>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r>
                        <m:rPr>
                          <m:sty m:val="p"/>
                        </m:rPr>
                        <m:t>=</m:t>
                      </m:r>
                      <m:r>
                        <m:t>2460</m:t>
                      </m:r>
                    </m:e>
                  </m:mr>
                  <m:mr>
                    <m:e>
                      <m:r>
                        <m:t>S</m:t>
                      </m:r>
                      <m:sSub>
                        <m:e>
                          <m:r>
                            <m:t>S</m:t>
                          </m:r>
                        </m:e>
                        <m:sub>
                          <m:r>
                            <m:t>X</m:t>
                          </m:r>
                          <m:r>
                            <m:t>X</m:t>
                          </m:r>
                        </m:sub>
                      </m:sSub>
                    </m:e>
                    <m:e>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r>
                        <m:rPr>
                          <m:sty m:val="p"/>
                        </m:rPr>
                        <m:t>=</m:t>
                      </m:r>
                      <m:r>
                        <m:t>84.1</m:t>
                      </m:r>
                    </m:e>
                  </m:mr>
                </m:m>
              </m:oMath>
            </m:oMathPara>
          </w:p>
          <w:p>
            <w:pPr>
              <w:pStyle w:val="FirstParagraph"/>
            </w:pP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bookmarkEnd w:id="65"/>
    <w:bookmarkEnd w:id="66"/>
    <w:bookmarkStart w:id="72" w:name="further-considerations"/>
    <w:p>
      <w:pPr>
        <w:pStyle w:val="Heading2"/>
      </w:pPr>
      <w:r>
        <w:t xml:space="preserve">Further considerations</w:t>
      </w:r>
    </w:p>
    <w:bookmarkStart w:id="71" w:name="section"/>
    <w:p>
      <w:pPr>
        <w:pStyle w:val="Heading3"/>
      </w:pP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 regression parameters</w:t>
      </w:r>
      <w:r>
        <w:t xml:space="preserve"> </w:t>
      </w:r>
      <m:oMath>
        <m:r>
          <m:t>α</m:t>
        </m:r>
        <m:r>
          <m:rPr>
            <m:sty m:val="p"/>
          </m:rPr>
          <m:t>,</m:t>
        </m:r>
        <m:r>
          <m:t>β</m:t>
        </m:r>
      </m:oMath>
      <w:r>
        <w:t xml:space="preserve">, the least squares estimates</w:t>
      </w:r>
      <w:r>
        <w:t xml:space="preserve"> </w:t>
      </w:r>
      <m:oMath>
        <m:r>
          <m:t>S</m:t>
        </m:r>
        <m:d>
          <m:dPr>
            <m:begChr m:val="("/>
            <m:sepChr m:val=""/>
            <m:endChr m:val=")"/>
            <m:grow/>
          </m:dPr>
          <m:e>
            <m:r>
              <m:t>α</m:t>
            </m:r>
            <m:r>
              <m:rPr>
                <m:sty m:val="p"/>
              </m:rPr>
              <m:t>,</m:t>
            </m:r>
            <m:r>
              <m:t>β</m:t>
            </m:r>
          </m:e>
        </m:d>
      </m:oMath>
      <w:r>
        <w:t xml:space="preserve"> </w:t>
      </w:r>
      <w:r>
        <w:t xml:space="preserve">for the regression parameters are also random variables. For more information about this, please see [Guide: Maximum likelihood estimation].</w:t>
      </w:r>
    </w:p>
    <w:p>
      <w:pPr>
        <w:pStyle w:val="BodyText"/>
      </w:pPr>
      <w:r>
        <w:t xml:space="preserve">Since the estimates are random variables, you can assume that they follow a probability distribution. For more information about the types of probability distributions which your data could follow, please read</w:t>
      </w:r>
      <w:r>
        <w:t xml:space="preserve"> </w:t>
      </w:r>
      <w:hyperlink r:id="rId67">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For more information about confidence intervals, please read</w:t>
      </w:r>
      <w:r>
        <w:t xml:space="preserve"> </w:t>
      </w:r>
      <w:hyperlink r:id="rId70">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71"/>
    <w:bookmarkEnd w:id="72"/>
    <w:bookmarkEnd w:id="73"/>
    <w:bookmarkStart w:id="74"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bookmarkEnd w:id="74"/>
    <w:bookmarkStart w:id="78" w:name="further-reading"/>
    <w:p>
      <w:pPr>
        <w:pStyle w:val="Heading1"/>
      </w:pPr>
      <w:r>
        <w:t xml:space="preserve">Further reading</w:t>
      </w:r>
    </w:p>
    <w:p>
      <w:pPr>
        <w:pStyle w:val="FirstParagraph"/>
      </w:pPr>
      <w:r>
        <w:t xml:space="preserve">For more questions on the subject, please go to</w:t>
      </w:r>
      <w:r>
        <w:t xml:space="preserve"> </w:t>
      </w:r>
      <w:hyperlink r:id="rId75">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77"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60" Target="media/rId60.png" /><Relationship Type="http://schemas.openxmlformats.org/officeDocument/2006/relationships/image" Id="rId52" Target="media/rId52.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hyperlink" Id="rId67" Target="../overviews/o-distributions.qmd" TargetMode="External" /><Relationship Type="http://schemas.openxmlformats.org/officeDocument/2006/relationships/hyperlink" Id="rId51"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75" Target="../questions/qs-linearregression.qmd" TargetMode="External" /><Relationship Type="http://schemas.openxmlformats.org/officeDocument/2006/relationships/hyperlink" Id="rId70" Target="confidenceintervals.qmd" TargetMode="External" /><Relationship Type="http://schemas.openxmlformats.org/officeDocument/2006/relationships/hyperlink" Id="rId20" Target="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57"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67" Target="../overviews/o-distributions.qmd" TargetMode="External" /><Relationship Type="http://schemas.openxmlformats.org/officeDocument/2006/relationships/hyperlink" Id="rId51"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75" Target="../questions/qs-linearregression.qmd" TargetMode="External" /><Relationship Type="http://schemas.openxmlformats.org/officeDocument/2006/relationships/hyperlink" Id="rId70" Target="confidenceintervals.qmd" TargetMode="External" /><Relationship Type="http://schemas.openxmlformats.org/officeDocument/2006/relationships/hyperlink" Id="rId20" Target="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57"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2026-06-07T12:08:02Z</dcterms:created>
  <dcterms:modified xsi:type="dcterms:W3CDTF">2026-06-07T12:08:02Z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FiguresPNG/linearregression-image.png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