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intervals,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 alpha 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 Z 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g</m:t>
        </m:r>
      </m:oMath>
      <w:r>
        <w:t xml:space="preserve">.</w:t>
      </w:r>
    </w:p>
    <w:p>
      <w:pPr>
        <w:pStyle w:val="BodyText"/>
      </w:pPr>
      <w:r>
        <w:t xml:space="preserve">identify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size</w:t>
      </w:r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sample mean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standard deviation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</m:oMath>
      <w:r>
        <w:t xml:space="preserve"> </w:t>
      </w:r>
      <w:r>
        <w:t xml:space="preserve">alpha value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Z value using the normal distribution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Use the information in</w:t>
      </w:r>
      <w:r>
        <w:t xml:space="preserve"> </w:t>
      </w:r>
      <w:r>
        <w:rPr>
          <w:b/>
          <w:bCs/>
        </w:rPr>
        <w:t xml:space="preserve">Q3</w:t>
      </w:r>
      <w:r>
        <w:t xml:space="preserve"> </w:t>
      </w:r>
      <w:r>
        <w:t xml:space="preserve">to construct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</w:t>
      </w:r>
    </w:p>
    <w:p>
      <w:pPr>
        <w:pStyle w:val="BodyText"/>
      </w:pPr>
      <w:r>
        <w:t xml:space="preserve">4.2 Explain what the confidence interval tells you in context of Cantor’s Confectionery.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Use the summary table to construct the following:</w:t>
      </w:r>
    </w:p>
    <w:p>
      <w:pPr>
        <w:pStyle w:val="BodyText"/>
      </w:pPr>
      <w:r>
        <w:t xml:space="preserve">5.1 a 90% CI</w:t>
      </w:r>
    </w:p>
    <w:p>
      <w:pPr>
        <w:pStyle w:val="BodyText"/>
      </w:pPr>
      <w:r>
        <w:t xml:space="preserve">5.2 a 95% CI</w:t>
      </w:r>
    </w:p>
    <w:p>
      <w:pPr>
        <w:pStyle w:val="BodyText"/>
      </w:pPr>
      <w:r>
        <w:t xml:space="preserve">5.3 a 99% CI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217"/>
        <w:gridCol w:w="4702"/>
      </w:tblGrid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σ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4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31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16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59</m:t>
                </m:r>
              </m:oMath>
            </m:oMathPara>
          </w:p>
        </w:tc>
      </w:tr>
    </w:tbl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2026-01-28T14:54:19Z</dcterms:created>
  <dcterms:modified xsi:type="dcterms:W3CDTF">2026-01-28T14:54:19Z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intervals,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