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3.png" ContentType="image/png"/>
  <Override PartName="/word/media/rId47.png" ContentType="image/png"/>
  <Override PartName="/word/media/rId51.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complex numbers</w:t>
        </w:r>
      </w:hyperlink>
      <w:r>
        <w:rPr>
          <w:i/>
          <w:iCs/>
        </w:rPr>
        <w:t xml:space="preserve">.</w:t>
      </w:r>
    </w:p>
    <w:bookmarkStart w:id="36"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755521" cy="2238597"/>
                  <wp:effectExtent b="0" l="0" r="0" t="0"/>
                  <wp:docPr descr="" title="" id="25" name="Picture"/>
                  <a:graphic>
                    <a:graphicData uri="http://schemas.openxmlformats.org/drawingml/2006/picture">
                      <pic:pic>
                        <pic:nvPicPr>
                          <pic:cNvPr descr="./FiguresPNG/introtoquadratics-fig1-1.png" id="26" name="Picture"/>
                          <pic:cNvPicPr>
                            <a:picLocks noChangeArrowheads="1" noChangeAspect="1"/>
                          </pic:cNvPicPr>
                        </pic:nvPicPr>
                        <pic:blipFill>
                          <a:blip r:embed="rId2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27"/>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d>
          <m:dPr>
            <m:begChr m:val="("/>
            <m:sepChr m:val=""/>
            <m:endChr m:val=")"/>
            <m:grow/>
          </m:dPr>
          <m:e>
            <m:r>
              <m:t>x</m:t>
            </m:r>
          </m:e>
        </m:d>
      </m:oMath>
      <w:r>
        <w:t xml:space="preserve">, and</w:t>
      </w:r>
      <w:r>
        <w:t xml:space="preserve"> </w:t>
      </w:r>
      <m:oMath>
        <m:r>
          <m:rPr>
            <m:sty m:val="p"/>
          </m:rPr>
          <m:t>sin</m:t>
        </m:r>
        <m:d>
          <m:dPr>
            <m:begChr m:val="("/>
            <m:sepChr m:val=""/>
            <m:endChr m:val=")"/>
            <m:grow/>
          </m:dPr>
          <m:e>
            <m:r>
              <m:t>y</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sSup>
                <m:e>
                  <m:d>
                    <m:dPr>
                      <m:begChr m:val="("/>
                      <m:sepChr m:val=""/>
                      <m:endChr m:val=")"/>
                      <m:grow/>
                    </m:dPr>
                    <m:e>
                      <m:sSup>
                        <m:e>
                          <m:r>
                            <m:t>y</m:t>
                          </m:r>
                        </m:e>
                        <m:sup>
                          <m:r>
                            <m:t>2</m:t>
                          </m:r>
                        </m:sup>
                      </m:sSup>
                    </m:e>
                  </m:d>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d>
                  <m:dPr>
                    <m:begChr m:val="("/>
                    <m:sepChr m:val=""/>
                    <m:endChr m:val=")"/>
                    <m:grow/>
                  </m:dPr>
                  <m:e>
                    <m:r>
                      <m:t>t</m:t>
                    </m:r>
                    <m:r>
                      <m:rPr>
                        <m:sty m:val="p"/>
                      </m:rPr>
                      <m:t>+</m:t>
                    </m:r>
                    <m:r>
                      <m:t>1</m:t>
                    </m:r>
                  </m:e>
                </m:d>
                <m:d>
                  <m:dPr>
                    <m:begChr m:val="("/>
                    <m:sepChr m:val=""/>
                    <m:endChr m:val=")"/>
                    <m:grow/>
                  </m:dPr>
                  <m:e>
                    <m:r>
                      <m:t>t</m:t>
                    </m:r>
                    <m:r>
                      <m:rPr>
                        <m:sty m:val="p"/>
                      </m:rPr>
                      <m:t>−</m:t>
                    </m:r>
                    <m:r>
                      <m:t>3</m:t>
                    </m:r>
                  </m:e>
                </m:d>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36"/>
    <w:bookmarkStart w:id="40"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d>
          <m:dPr>
            <m:begChr m:val="("/>
            <m:sepChr m:val=""/>
            <m:endChr m:val=")"/>
            <m:grow/>
          </m:dPr>
          <m:e>
            <m:r>
              <m:t>m</m:t>
            </m:r>
            <m:r>
              <m:t>x</m:t>
            </m:r>
            <m:r>
              <m:rPr>
                <m:sty m:val="p"/>
              </m:rPr>
              <m:t>+</m:t>
            </m:r>
            <m:r>
              <m:t>n</m:t>
            </m:r>
          </m:e>
        </m:d>
        <m:d>
          <m:dPr>
            <m:begChr m:val="("/>
            <m:sepChr m:val=""/>
            <m:endChr m:val=")"/>
            <m:grow/>
          </m:dPr>
          <m:e>
            <m:r>
              <m:t>p</m:t>
            </m:r>
            <m:r>
              <m:t>x</m:t>
            </m:r>
            <m:r>
              <m:rPr>
                <m:sty m:val="p"/>
              </m:rPr>
              <m:t>+</m:t>
            </m:r>
            <m:r>
              <m:t>q</m:t>
            </m:r>
          </m:e>
        </m:d>
      </m:oMath>
      <w:r>
        <w:t xml:space="preserve">, then work out the roots when each of these linear equations is zero. See</w:t>
      </w:r>
      <w:r>
        <w:t xml:space="preserve"> </w:t>
      </w:r>
      <w:hyperlink r:id="rId37">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sSup>
          <m:e>
            <m:d>
              <m:dPr>
                <m:begChr m:val="("/>
                <m:sepChr m:val=""/>
                <m:endChr m:val=")"/>
                <m:grow/>
              </m:dPr>
              <m:e>
                <m:r>
                  <m:t>x</m:t>
                </m:r>
                <m:r>
                  <m:rPr>
                    <m:sty m:val="p"/>
                  </m:rPr>
                  <m:t>+</m:t>
                </m:r>
                <m:r>
                  <m:t>b</m:t>
                </m:r>
                <m:r>
                  <m:rPr>
                    <m:sty m:val="p"/>
                  </m:rPr>
                  <m:t>/</m:t>
                </m:r>
                <m:r>
                  <m:t>2</m:t>
                </m:r>
                <m:r>
                  <m:t>a</m:t>
                </m:r>
              </m:e>
            </m:d>
          </m:e>
          <m:sup>
            <m:r>
              <m:t>2</m:t>
            </m:r>
          </m:sup>
        </m:sSup>
        <m:r>
          <m:rPr>
            <m:sty m:val="p"/>
          </m:rPr>
          <m:t>=</m:t>
        </m:r>
        <m:r>
          <m:t>d</m:t>
        </m:r>
      </m:oMath>
      <w:r>
        <w:t xml:space="preserve">, and then solve from there (not forgetting the negative root). See</w:t>
      </w:r>
      <w:r>
        <w:t xml:space="preserve"> </w:t>
      </w:r>
      <w:hyperlink r:id="rId38">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39">
        <w:r>
          <w:rPr>
            <w:rStyle w:val="Hyperlink"/>
          </w:rPr>
          <w:t xml:space="preserve">Guide: Using the quadratic formula</w:t>
        </w:r>
      </w:hyperlink>
      <w:r>
        <w:t xml:space="preserve"> </w:t>
      </w:r>
      <w:r>
        <w:t xml:space="preserve">for more.</w:t>
      </w:r>
    </w:p>
    <w:bookmarkEnd w:id="40"/>
    <w:bookmarkStart w:id="66"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238597"/>
                  <wp:effectExtent b="0" l="0" r="0" t="0"/>
                  <wp:docPr descr="" title="" id="44" name="Picture"/>
                  <a:graphic>
                    <a:graphicData uri="http://schemas.openxmlformats.org/drawingml/2006/picture">
                      <pic:pic>
                        <pic:nvPicPr>
                          <pic:cNvPr descr="./FiguresPNG/introtoquadratics-fig2-2.png" id="45" name="Picture"/>
                          <pic:cNvPicPr>
                            <a:picLocks noChangeArrowheads="1" noChangeAspect="1"/>
                          </pic:cNvPicPr>
                        </pic:nvPicPr>
                        <pic:blipFill>
                          <a:blip r:embed="rId4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46"/>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ty m:val="p"/>
              <m:scr m:val="sans-serif"/>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238597"/>
                  <wp:effectExtent b="0" l="0" r="0" t="0"/>
                  <wp:docPr descr="" title="" id="48" name="Picture"/>
                  <a:graphic>
                    <a:graphicData uri="http://schemas.openxmlformats.org/drawingml/2006/picture">
                      <pic:pic>
                        <pic:nvPicPr>
                          <pic:cNvPr descr="./FiguresPNG/introtoquadratics-fig3-3.png" id="49" name="Picture"/>
                          <pic:cNvPicPr>
                            <a:picLocks noChangeArrowheads="1" noChangeAspect="1"/>
                          </pic:cNvPicPr>
                        </pic:nvPicPr>
                        <pic:blipFill>
                          <a:blip r:embed="rId47"/>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50"/>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20">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54" w:name="fig-4"/>
          <w:p>
            <w:pPr>
              <w:pStyle w:val="Compact"/>
              <w:jc w:val="center"/>
            </w:pPr>
            <w:r>
              <w:drawing>
                <wp:inline>
                  <wp:extent cx="5755521" cy="2238597"/>
                  <wp:effectExtent b="0" l="0" r="0" t="0"/>
                  <wp:docPr descr="" title="" id="52" name="Picture"/>
                  <a:graphic>
                    <a:graphicData uri="http://schemas.openxmlformats.org/drawingml/2006/picture">
                      <pic:pic>
                        <pic:nvPicPr>
                          <pic:cNvPr descr="./FiguresPNG/introtoquadratics-fig4-4.png" id="53" name="Picture"/>
                          <pic:cNvPicPr>
                            <a:picLocks noChangeArrowheads="1" noChangeAspect="1"/>
                          </pic:cNvPicPr>
                        </pic:nvPicPr>
                        <pic:blipFill>
                          <a:blip r:embed="rId51"/>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54"/>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rPr>
                        <m:sty m:val="p"/>
                      </m:rPr>
                      <m:t>−</m:t>
                    </m:r>
                    <m:r>
                      <m:t>1</m:t>
                    </m:r>
                  </m:e>
                </m:d>
                <m:d>
                  <m:dPr>
                    <m:begChr m:val="("/>
                    <m:sepChr m:val=""/>
                    <m:endChr m:val=")"/>
                    <m:grow/>
                  </m:dPr>
                  <m:e>
                    <m:r>
                      <m:rPr>
                        <m:sty m:val="p"/>
                      </m:rPr>
                      <m:t>−</m:t>
                    </m:r>
                    <m:r>
                      <m:t>5</m:t>
                    </m:r>
                  </m:e>
                </m:d>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1</m:t>
                    </m:r>
                  </m:e>
                </m:d>
                <m:d>
                  <m:dPr>
                    <m:begChr m:val="("/>
                    <m:sepChr m:val=""/>
                    <m:endChr m:val=")"/>
                    <m:grow/>
                  </m:dPr>
                  <m:e>
                    <m:r>
                      <m:rPr>
                        <m:sty m:val="p"/>
                      </m:rPr>
                      <m:t>−</m:t>
                    </m:r>
                    <m:r>
                      <m:t>1</m:t>
                    </m:r>
                  </m:e>
                </m:d>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66"/>
    <w:bookmarkStart w:id="67"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37">
        <w:r>
          <w:rPr>
            <w:rStyle w:val="Hyperlink"/>
          </w:rPr>
          <w:t xml:space="preserve">Guide: Factorization</w:t>
        </w:r>
      </w:hyperlink>
      <w:r>
        <w:t xml:space="preserve">,</w:t>
      </w:r>
      <w:r>
        <w:t xml:space="preserve"> </w:t>
      </w:r>
      <w:hyperlink r:id="rId38">
        <w:r>
          <w:rPr>
            <w:rStyle w:val="Hyperlink"/>
          </w:rPr>
          <w:t xml:space="preserve">Guide: Completing the square</w:t>
        </w:r>
      </w:hyperlink>
      <w:r>
        <w:t xml:space="preserve"> </w:t>
      </w:r>
      <w:r>
        <w:t xml:space="preserve">and especially</w:t>
      </w:r>
      <w:r>
        <w:t xml:space="preserve"> </w:t>
      </w:r>
      <w:hyperlink r:id="rId39">
        <w:r>
          <w:rPr>
            <w:rStyle w:val="Hyperlink"/>
          </w:rPr>
          <w:t xml:space="preserve">Guide: Using the quadratic formula.</w:t>
        </w:r>
      </w:hyperlink>
      <w:r>
        <w:t xml:space="preserve">.</w:t>
      </w:r>
    </w:p>
    <w:bookmarkStart w:id="70"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2026-01-28T14:49:53Z</dcterms:created>
  <dcterms:modified xsi:type="dcterms:W3CDTF">2026-01-28T14:49:53Z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FiguresPNG/introtoquadratics-image.png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