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quotient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quotient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The quotient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Differentiate the following functions using the quotient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7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11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x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  <m:r>
              <m:rPr>
                <m:sty m:val="p"/>
              </m:rPr>
              <m:t>−</m:t>
            </m:r>
            <m:r>
              <m:t>27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</m:num>
          <m:den>
            <m:r>
              <m:rPr>
                <m:sty m:val="p"/>
              </m:rPr>
              <m:t>sec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quotientrule.qmd" TargetMode="External" /><Relationship Type="http://schemas.openxmlformats.org/officeDocument/2006/relationships/hyperlink" Id="rId9" Target="../studyguides/quotient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quotientrule.qmd" TargetMode="External" /><Relationship Type="http://schemas.openxmlformats.org/officeDocument/2006/relationships/hyperlink" Id="rId9" Target="../studyguides/quotient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quotient rule</dc:title>
  <dc:creator>Sara Delgado Garcia</dc:creator>
  <cp:keywords/>
  <dcterms:created xsi:type="dcterms:W3CDTF">2026-07-08T09:19:01Z</dcterms:created>
  <dcterms:modified xsi:type="dcterms:W3CDTF">2026-07-08T09:19:01Z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quotient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