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2.png" ContentType="image/png"/>
  <Override PartName="/word/media/rId66.png" ContentType="image/png"/>
  <Override PartName="/word/media/rId78.png" ContentType="image/png"/>
  <Override PartName="/word/media/rId95.png" ContentType="image/png"/>
  <Override PartName="/word/media/rId60.png" ContentType="image/png"/>
  <Override PartName="/word/media/rId1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9"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9"/>
    <w:bookmarkStart w:id="10"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10"/>
    <w:bookmarkStart w:id="83" w:name="descriptive-statistics"/>
    <w:p>
      <w:pPr>
        <w:pStyle w:val="Heading1"/>
      </w:pPr>
      <w:r>
        <w:t xml:space="preserve">Descriptive statistics</w:t>
      </w:r>
    </w:p>
    <w:bookmarkStart w:id="30"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16"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16"/>
    <w:bookmarkStart w:id="23"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23"/>
    <w:bookmarkStart w:id="28"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28"/>
    <w:bookmarkStart w:id="29"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29"/>
    <w:bookmarkEnd w:id="30"/>
    <w:bookmarkStart w:id="48"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35"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35"/>
    <w:bookmarkStart w:id="42"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42"/>
    <w:bookmarkStart w:id="46"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r>
                <m:rPr>
                  <m:sty m:val="p"/>
                </m:rPr>
                <m:t>(</m:t>
              </m:r>
              <m:sSub>
                <m:e>
                  <m:r>
                    <m:t>x</m:t>
                  </m:r>
                </m:e>
                <m:sub>
                  <m:r>
                    <m:t>i</m:t>
                  </m:r>
                </m:sub>
              </m:sSub>
              <m:r>
                <m:rPr>
                  <m:sty m:val="p"/>
                </m:rPr>
                <m:t>−</m:t>
              </m:r>
              <m:bar>
                <m:barPr>
                  <m:pos m:val="top"/>
                </m:barPr>
                <m:e>
                  <m:r>
                    <m:t>x</m:t>
                  </m:r>
                </m:e>
              </m:bar>
              <m:r>
                <m:rPr>
                  <m:sty m:val="p"/>
                </m:rPr>
                <m:t>)</m:t>
              </m:r>
            </m:oMath>
            <w:r>
              <w:t xml:space="preserve">:</w:t>
            </w:r>
          </w:p>
          <w:p>
            <w:pPr>
              <w:numPr>
                <w:ilvl w:val="0"/>
                <w:numId w:val="1005"/>
              </w:numPr>
            </w:pPr>
            <m:oMath>
              <m:r>
                <m:rPr>
                  <m:sty m:val="p"/>
                </m:rPr>
                <m:t>(</m:t>
              </m:r>
              <m:r>
                <m:t>40</m:t>
              </m:r>
              <m:r>
                <m:rPr>
                  <m:sty m:val="p"/>
                </m:rPr>
                <m:t>−</m:t>
              </m:r>
              <m:r>
                <m:t>38.4</m:t>
              </m:r>
              <m:sSup>
                <m:e>
                  <m:r>
                    <m:rPr>
                      <m:sty m:val="p"/>
                    </m:rPr>
                    <m:t>)</m:t>
                  </m:r>
                </m:e>
                <m:sup>
                  <m:r>
                    <m:t>2</m:t>
                  </m:r>
                </m:sup>
              </m:sSup>
              <m:r>
                <m:rPr>
                  <m:sty m:val="p"/>
                </m:rPr>
                <m:t>=</m:t>
              </m:r>
              <m:r>
                <m:t>2.56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56</m:t>
              </m:r>
              <m:r>
                <m:rPr>
                  <m:sty m:val="p"/>
                </m:rPr>
                <m:t>−</m:t>
              </m:r>
              <m:r>
                <m:t>38.4</m:t>
              </m:r>
              <m:sSup>
                <m:e>
                  <m:r>
                    <m:rPr>
                      <m:sty m:val="p"/>
                    </m:rPr>
                    <m:t>)</m:t>
                  </m:r>
                </m:e>
                <m:sup>
                  <m:r>
                    <m:t>2</m:t>
                  </m:r>
                </m:sup>
              </m:sSup>
              <m:r>
                <m:rPr>
                  <m:sty m:val="p"/>
                </m:rPr>
                <m:t>=</m:t>
              </m:r>
              <m:r>
                <m:t>309.76</m:t>
              </m:r>
            </m:oMath>
          </w:p>
          <w:p>
            <w:pPr>
              <w:numPr>
                <w:ilvl w:val="0"/>
                <w:numId w:val="1005"/>
              </w:numPr>
            </w:pPr>
            <m:oMath>
              <m:r>
                <m:rPr>
                  <m:sty m:val="p"/>
                </m:rPr>
                <m:t>(</m:t>
              </m:r>
              <m:r>
                <m:t>76</m:t>
              </m:r>
              <m:r>
                <m:rPr>
                  <m:sty m:val="p"/>
                </m:rPr>
                <m:t>−</m:t>
              </m:r>
              <m:r>
                <m:t>38.4</m:t>
              </m:r>
              <m:sSup>
                <m:e>
                  <m:r>
                    <m:rPr>
                      <m:sty m:val="p"/>
                    </m:rPr>
                    <m:t>)</m:t>
                  </m:r>
                </m:e>
                <m:sup>
                  <m:r>
                    <m:t>2</m:t>
                  </m:r>
                </m:sup>
              </m:sSup>
              <m:r>
                <m:rPr>
                  <m:sty m:val="p"/>
                </m:rPr>
                <m:t>=</m:t>
              </m:r>
              <m:r>
                <m:t>1413.76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50</m:t>
              </m:r>
              <m:r>
                <m:rPr>
                  <m:sty m:val="p"/>
                </m:rPr>
                <m:t>−</m:t>
              </m:r>
              <m:r>
                <m:t>38.4</m:t>
              </m:r>
              <m:sSup>
                <m:e>
                  <m:r>
                    <m:rPr>
                      <m:sty m:val="p"/>
                    </m:rPr>
                    <m:t>)</m:t>
                  </m:r>
                </m:e>
                <m:sup>
                  <m:r>
                    <m:t>2</m:t>
                  </m:r>
                </m:sup>
              </m:sSup>
              <m:r>
                <m:rPr>
                  <m:sty m:val="p"/>
                </m:rPr>
                <m:t>=</m:t>
              </m:r>
              <m:r>
                <m:t>134.56</m:t>
              </m:r>
            </m:oMath>
          </w:p>
          <w:p>
            <w:pPr>
              <w:pStyle w:val="FirstParagraph"/>
            </w:pPr>
            <w:pPr>
              <w:spacing w:after="16"/>
            </w:pPr>
            <w:r>
              <w:t xml:space="preserve">To find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you can sum all the squared differences above.</w:t>
            </w:r>
          </w:p>
          <w:p>
            <w:pPr>
              <w:pStyle w:val="BodyText"/>
            </w:pPr>
            <m:oMathPara>
              <m:oMathParaPr>
                <m:jc m:val="center"/>
              </m:oMathParaPr>
              <m:oMath>
                <m:r>
                  <m:rPr>
                    <m:sty m:val="p"/>
                  </m:rPr>
                  <m:t>∑</m:t>
                </m:r>
                <m:r>
                  <m:rPr>
                    <m:sty m:val="p"/>
                  </m:rPr>
                  <m:t>(</m:t>
                </m:r>
                <m:sSub>
                  <m:e>
                    <m:r>
                      <m:t>x</m:t>
                    </m:r>
                  </m:e>
                  <m:sub>
                    <m:r>
                      <m:t>i</m:t>
                    </m:r>
                  </m:sub>
                </m:sSub>
                <m:r>
                  <m:rPr>
                    <m:sty m:val="p"/>
                  </m:rPr>
                  <m:t>−</m:t>
                </m:r>
                <m:bar>
                  <m:barPr>
                    <m:pos m:val="top"/>
                  </m:barPr>
                  <m:e>
                    <m:r>
                      <m:t>x</m:t>
                    </m:r>
                  </m:e>
                </m:bar>
                <m:r>
                  <m:rPr>
                    <m:sty m:val="p"/>
                  </m:rPr>
                  <m:t>)</m:t>
                </m:r>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r>
              <w:t xml:space="preserve">, you can divide the newly calculated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45">
        <w:r>
          <w:rPr>
            <w:rStyle w:val="Hyperlink"/>
          </w:rPr>
          <w:t xml:space="preserve">Guide: Expected value, variance, standard deviation.</w:t>
        </w:r>
      </w:hyperlink>
    </w:p>
    <w:bookmarkEnd w:id="46"/>
    <w:bookmarkStart w:id="47"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47"/>
    <w:bookmarkEnd w:id="48"/>
    <w:bookmarkStart w:id="82"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57"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52" name="Picture"/>
                  <a:graphic>
                    <a:graphicData uri="http://schemas.openxmlformats.org/drawingml/2006/picture">
                      <pic:pic>
                        <pic:nvPicPr>
                          <pic:cNvPr descr="./FiguresPNG/candysalesbarchart.png" id="53" name="Picture"/>
                          <pic:cNvPicPr>
                            <a:picLocks noChangeArrowheads="1" noChangeAspect="1"/>
                          </pic:cNvPicPr>
                        </pic:nvPicPr>
                        <pic:blipFill>
                          <a:blip r:embed="rId5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57"/>
    <w:bookmarkStart w:id="63"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61" name="Picture"/>
                  <a:graphic>
                    <a:graphicData uri="http://schemas.openxmlformats.org/drawingml/2006/picture">
                      <pic:pic>
                        <pic:nvPicPr>
                          <pic:cNvPr descr="./FiguresPNG/saleslinegraph.png" id="62" name="Picture"/>
                          <pic:cNvPicPr>
                            <a:picLocks noChangeArrowheads="1" noChangeAspect="1"/>
                          </pic:cNvPicPr>
                        </pic:nvPicPr>
                        <pic:blipFill>
                          <a:blip r:embed="rId60"/>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3"/>
    <w:bookmarkStart w:id="69"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67" name="Picture"/>
                  <a:graphic>
                    <a:graphicData uri="http://schemas.openxmlformats.org/drawingml/2006/picture">
                      <pic:pic>
                        <pic:nvPicPr>
                          <pic:cNvPr descr="./FiguresPNG/candyweightshistogram.png" id="68" name="Picture"/>
                          <pic:cNvPicPr>
                            <a:picLocks noChangeArrowheads="1" noChangeAspect="1"/>
                          </pic:cNvPicPr>
                        </pic:nvPicPr>
                        <pic:blipFill>
                          <a:blip r:embed="rId6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9"/>
    <w:bookmarkStart w:id="75"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73" name="Picture"/>
                  <a:graphic>
                    <a:graphicData uri="http://schemas.openxmlformats.org/drawingml/2006/picture">
                      <pic:pic>
                        <pic:nvPicPr>
                          <pic:cNvPr descr="./FiguresPNG/candysalespiechart.png" id="74" name="Picture"/>
                          <pic:cNvPicPr>
                            <a:picLocks noChangeArrowheads="1" noChangeAspect="1"/>
                          </pic:cNvPicPr>
                        </pic:nvPicPr>
                        <pic:blipFill>
                          <a:blip r:embed="rId7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75"/>
    <w:bookmarkStart w:id="81"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79" name="Picture"/>
                  <a:graphic>
                    <a:graphicData uri="http://schemas.openxmlformats.org/drawingml/2006/picture">
                      <pic:pic>
                        <pic:nvPicPr>
                          <pic:cNvPr descr="./FiguresPNG/cantorscatterplot.png" id="80" name="Picture"/>
                          <pic:cNvPicPr>
                            <a:picLocks noChangeArrowheads="1" noChangeAspect="1"/>
                          </pic:cNvPicPr>
                        </pic:nvPicPr>
                        <pic:blipFill>
                          <a:blip r:embed="rId78"/>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81"/>
    <w:bookmarkEnd w:id="82"/>
    <w:bookmarkEnd w:id="83"/>
    <w:bookmarkStart w:id="122"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84">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9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 ‘status quo’ 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91">
        <w:r>
          <w:rPr>
            <w:rStyle w:val="Hyperlink"/>
          </w:rPr>
          <w:t xml:space="preserve">Guide: Introduction to hypothesis testing.</w:t>
        </w:r>
      </w:hyperlink>
    </w:p>
    <w:bookmarkEnd w:id="92"/>
    <w:bookmarkStart w:id="102"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96" name="Picture"/>
                  <a:graphic>
                    <a:graphicData uri="http://schemas.openxmlformats.org/drawingml/2006/picture">
                      <pic:pic>
                        <pic:nvPicPr>
                          <pic:cNvPr descr="./FiguresPNG/cantorscatterplotwithline.png" id="97" name="Picture"/>
                          <pic:cNvPicPr>
                            <a:picLocks noChangeArrowheads="1" noChangeAspect="1"/>
                          </pic:cNvPicPr>
                        </pic:nvPicPr>
                        <pic:blipFill>
                          <a:blip r:embed="rId95"/>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r>
                <m:rPr>
                  <m:sty m:val="p"/>
                </m:rPr>
                <m:t>(</m:t>
              </m:r>
              <m:r>
                <m:rPr>
                  <m:nor/>
                  <m:sty m:val="p"/>
                </m:rPr>
                <m:t>price</m:t>
              </m:r>
              <m:r>
                <m:rPr>
                  <m:sty m:val="p"/>
                </m:rPr>
                <m:t>)</m:t>
              </m:r>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r>
                <m:rPr>
                  <m:sty m:val="p"/>
                </m:rPr>
                <m:t>(</m:t>
              </m:r>
              <m:r>
                <m:rPr>
                  <m:sty m:val="p"/>
                </m:rPr>
                <m:t>−</m:t>
              </m:r>
              <m:r>
                <m:t>0.9121</m:t>
              </m:r>
              <m:sSup>
                <m:e>
                  <m:r>
                    <m:rPr>
                      <m:sty m:val="p"/>
                    </m:rPr>
                    <m:t>)</m:t>
                  </m:r>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02"/>
    <w:bookmarkStart w:id="116"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note.png" id="10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cr m:val="double-struck"/>
                  <m:sty m:val="p"/>
                </m:rPr>
                <m:t>P</m:t>
              </m:r>
              <m:r>
                <m:rPr>
                  <m:sty m:val="p"/>
                </m:rPr>
                <m:t>(</m:t>
              </m:r>
              <m:r>
                <m:t>3</m:t>
              </m:r>
              <m:r>
                <m:rPr>
                  <m:sty m:val="p"/>
                </m:rPr>
                <m:t>≤</m:t>
              </m:r>
              <m:r>
                <m:t>X</m:t>
              </m:r>
              <m:r>
                <m:rPr>
                  <m:sty m:val="p"/>
                </m:rPr>
                <m:t>≤</m:t>
              </m:r>
              <m:r>
                <m:t>5</m:t>
              </m:r>
              <m:r>
                <m:rPr>
                  <m:sty m:val="p"/>
                </m:rPr>
                <m:t>)</m:t>
              </m:r>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cr m:val="double-struck"/>
                  <m:sty m:val="p"/>
                </m:rPr>
                <m:t>P</m:t>
              </m:r>
              <m:r>
                <m:rPr>
                  <m:sty m:val="p"/>
                </m:rPr>
                <m:t>(</m:t>
              </m:r>
              <m:r>
                <m:t>X</m:t>
              </m:r>
              <m:r>
                <m:rPr>
                  <m:sty m:val="p"/>
                </m:rPr>
                <m:t>≤</m:t>
              </m:r>
              <m:r>
                <m:t>5</m:t>
              </m:r>
              <m:r>
                <m:rPr>
                  <m:sty m:val="p"/>
                </m:rPr>
                <m:t>)</m:t>
              </m:r>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&lt;</m:t>
              </m:r>
              <m:r>
                <m:t>x</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cr m:val="double-struck"/>
                  <m:sty m:val="p"/>
                </m:rPr>
                <m:t>P</m:t>
              </m:r>
              <m:r>
                <m:rPr>
                  <m:sty m:val="p"/>
                </m:rPr>
                <m:t>(</m:t>
              </m:r>
              <m:r>
                <m:t>X</m:t>
              </m:r>
              <m:r>
                <m:rPr>
                  <m:sty m:val="p"/>
                </m:rPr>
                <m:t>≥</m:t>
              </m:r>
              <m:r>
                <m:t>x</m:t>
              </m:r>
              <m:r>
                <m:rPr>
                  <m:sty m:val="p"/>
                </m:rPr>
                <m:t>)</m:t>
              </m:r>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m:oMathPara>
          </w:p>
          <w:p>
            <w:pPr>
              <w:pStyle w:val="FirstParagraph"/>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t>1</m:t>
              </m:r>
              <m:r>
                <m:rPr>
                  <m:sty m:val="p"/>
                </m:rPr>
                <m:t>)</m:t>
              </m:r>
            </m:oMath>
            <w:r>
              <w:t xml:space="preserve">, so:</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r>
                  <m:t>1</m:t>
                </m:r>
                <m:r>
                  <m:rPr>
                    <m:sty m:val="p"/>
                  </m:rPr>
                  <m:t>)</m:t>
                </m:r>
              </m:oMath>
            </m:oMathPara>
          </w:p>
          <w:p/>
        </w:tc>
      </w:tr>
    </w:tbl>
    <w:p>
      <w:pPr>
        <w:pStyle w:val="FirstParagraph"/>
      </w:pPr>
      <w:r>
        <w:t xml:space="preserve">For more information on PMFs, PDFs, and CDFs, please read</w:t>
      </w:r>
      <w:r>
        <w:t xml:space="preserve"> </w:t>
      </w:r>
      <w:hyperlink r:id="rId115">
        <w:r>
          <w:rPr>
            <w:rStyle w:val="Hyperlink"/>
          </w:rPr>
          <w:t xml:space="preserve">Guide: PMFs, PDFs, and CDFs.</w:t>
        </w:r>
      </w:hyperlink>
    </w:p>
    <w:bookmarkEnd w:id="116"/>
    <w:bookmarkStart w:id="121"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21"/>
    <w:bookmarkEnd w:id="122"/>
    <w:bookmarkStart w:id="123"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23"/>
    <w:bookmarkStart w:id="127" w:name="further-reading"/>
    <w:p>
      <w:pPr>
        <w:pStyle w:val="Heading1"/>
      </w:pPr>
      <w:r>
        <w:t xml:space="preserve">Further reading</w:t>
      </w:r>
    </w:p>
    <w:p>
      <w:pPr>
        <w:pStyle w:val="FirstParagraph"/>
      </w:pPr>
      <w:hyperlink r:id="rId124">
        <w:r>
          <w:rPr>
            <w:rStyle w:val="Hyperlink"/>
          </w:rPr>
          <w:t xml:space="preserve">For more questions on the subject, please go to Questions: Introduction to probability.</w:t>
        </w:r>
      </w:hyperlink>
    </w:p>
    <w:bookmarkStart w:id="126"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25">
        <w:r>
          <w:rPr>
            <w:rStyle w:val="Hyperlink"/>
          </w:rPr>
          <w:t xml:space="preserve">This work is licensed under CC BY-NC-SA 4.0.</w:t>
        </w:r>
      </w:hyperlink>
    </w:p>
    <w:bookmarkEnd w:id="126"/>
    <w:bookmarkEnd w:id="1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54" Target="media/rId54.png" /><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2026-07-08T09:08:29Z</dcterms:created>
  <dcterms:modified xsi:type="dcterms:W3CDTF">2026-07-08T09:08:29Z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