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5.png" ContentType="image/png"/>
  <Override PartName="/word/media/rId82.png" ContentType="image/png"/>
  <Override PartName="/word/media/rId12.png" ContentType="image/png"/>
  <Override PartName="/word/media/rId30.png" ContentType="image/png"/>
  <Override PartName="/word/media/rId40.png" ContentType="image/png"/>
  <Override PartName="/word/media/rId48.png" ContentType="image/png"/>
  <Override PartName="/word/media/rId53.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22"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cr m:val="sans-serif"/>
              <m:sty m:val="p"/>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13" name="Picture"/>
            <a:graphic>
              <a:graphicData uri="http://schemas.openxmlformats.org/drawingml/2006/picture">
                <pic:pic>
                  <pic:nvPicPr>
                    <pic:cNvPr descr="FiguresPNG/introtonumericalfractions-fig2.png" id="14" name="Picture"/>
                    <pic:cNvPicPr>
                      <a:picLocks noChangeArrowheads="1" noChangeAspect="1"/>
                    </pic:cNvPicPr>
                  </pic:nvPicPr>
                  <pic:blipFill>
                    <a:blip r:embed="rId12"/>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r>
                  <m:rPr>
                    <m:sty m:val="p"/>
                  </m:rPr>
                  <m:t>=</m:t>
                </m:r>
                <m:f>
                  <m:fPr>
                    <m:type m:val="bar"/>
                  </m:fPr>
                  <m:num>
                    <m:r>
                      <m:rPr>
                        <m:nor/>
                        <m:scr m:val="sans-serif"/>
                        <m:sty m:val="p"/>
                      </m:rPr>
                      <m:t>"number you have"</m:t>
                    </m:r>
                  </m:num>
                  <m:den>
                    <m:r>
                      <m:rPr>
                        <m:nor/>
                        <m:scr m:val="sans-serif"/>
                        <m:sty m:val="p"/>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22"/>
    <w:bookmarkStart w:id="33"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cr m:val="sans-serif"/>
                    <m:sty m:val="p"/>
                  </m:rPr>
                  <m:t>three eighths</m:t>
                </m:r>
              </m:e>
            </m:mr>
            <m:mr>
              <m:e>
                <m:r>
                  <m:rPr>
                    <m:nor/>
                    <m:scr m:val="sans-serif"/>
                    <m:sty m:val="p"/>
                  </m:rPr>
                  <m:t>proper fraction</m:t>
                </m:r>
              </m:e>
            </m:mr>
          </m:m>
          <m:r>
            <m:t>  </m:t>
          </m:r>
          <m:m>
            <m:mPr>
              <m:baseJc m:val="center"/>
              <m:plcHide m:val="on"/>
              <m:mcs>
                <m:mc>
                  <m:mcPr>
                    <m:mcJc m:val="center"/>
                    <m:count m:val="1"/>
                  </m:mcPr>
                </m:mc>
              </m:mcs>
            </m:mPr>
            <m:mr>
              <m:e>
                <m:f>
                  <m:fPr>
                    <m:type m:val="bar"/>
                  </m:fPr>
                  <m:num>
                    <m:r>
                      <m:t>7</m:t>
                    </m:r>
                  </m:num>
                  <m:den>
                    <m:r>
                      <m:t>4</m:t>
                    </m:r>
                  </m:den>
                </m:f>
              </m:e>
            </m:mr>
            <m:mr>
              <m:e>
                <m:r>
                  <m:rPr>
                    <m:nor/>
                    <m:scr m:val="sans-serif"/>
                    <m:sty m:val="p"/>
                  </m:rPr>
                  <m:t>seven quarters</m:t>
                </m:r>
              </m:e>
            </m:mr>
            <m:mr>
              <m:e>
                <m:r>
                  <m:rPr>
                    <m:nor/>
                    <m:scr m:val="sans-serif"/>
                    <m:sty m:val="p"/>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cr m:val="sans-serif"/>
                    <m:sty m:val="p"/>
                  </m:rPr>
                  <m:t>one and three quarters</m:t>
                </m:r>
              </m:e>
            </m:mr>
            <m:mr>
              <m:e>
                <m:r>
                  <m:rPr>
                    <m:nor/>
                    <m:scr m:val="sans-serif"/>
                    <m:sty m:val="p"/>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eqArr>
                  <m:e>
                    <m:r>
                      <m:rPr>
                        <m:nor/>
                        <m:scr m:val="sans-serif"/>
                        <m:sty m:val="p"/>
                      </m:rPr>
                      <m:t>Proper fractions:</m:t>
                    </m:r>
                    <m:r>
                      <m:t> </m:t>
                    </m:r>
                    <m:r>
                      <m:t>&amp;</m:t>
                    </m:r>
                    <m:f>
                      <m:fPr>
                        <m:type m:val="bar"/>
                      </m:fPr>
                      <m:num>
                        <m:r>
                          <m:t>1</m:t>
                        </m:r>
                      </m:num>
                      <m:den>
                        <m:r>
                          <m:t>4</m:t>
                        </m:r>
                      </m:den>
                    </m:f>
                    <m:r>
                      <m:t> </m:t>
                    </m:r>
                    <m:f>
                      <m:fPr>
                        <m:type m:val="bar"/>
                      </m:fPr>
                      <m:num>
                        <m:r>
                          <m:t>1</m:t>
                        </m:r>
                      </m:num>
                      <m:den>
                        <m:r>
                          <m:t>2</m:t>
                        </m:r>
                      </m:den>
                    </m:f>
                    <m:r>
                      <m:t> </m:t>
                    </m:r>
                    <m:f>
                      <m:fPr>
                        <m:type m:val="bar"/>
                      </m:fPr>
                      <m:num>
                        <m:r>
                          <m:t>14</m:t>
                        </m:r>
                      </m:num>
                      <m:den>
                        <m:r>
                          <m:t>25</m:t>
                        </m:r>
                      </m:den>
                    </m:f>
                  </m:e>
                  <m:e>
                    <m:r>
                      <m:rPr>
                        <m:nor/>
                        <m:scr m:val="sans-serif"/>
                        <m:sty m:val="p"/>
                      </m:rPr>
                      <m:t>Improper fractions:</m:t>
                    </m:r>
                    <m:r>
                      <m:t> </m:t>
                    </m:r>
                    <m:r>
                      <m:t>&amp;</m:t>
                    </m:r>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e>
                    <m:r>
                      <m:rPr>
                        <m:nor/>
                        <m:scr m:val="sans-serif"/>
                        <m:sty m:val="p"/>
                      </m:rPr>
                      <m:t>Mixed numbers:</m:t>
                    </m:r>
                    <m:r>
                      <m:t> </m:t>
                    </m:r>
                    <m:r>
                      <m:t>&amp;</m:t>
                    </m:r>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eqAr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31" name="Picture"/>
            <a:graphic>
              <a:graphicData uri="http://schemas.openxmlformats.org/drawingml/2006/picture">
                <pic:pic>
                  <pic:nvPicPr>
                    <pic:cNvPr descr="FiguresPNG/introtonumericalfractions-fig3.png" id="32" name="Picture"/>
                    <pic:cNvPicPr>
                      <a:picLocks noChangeArrowheads="1" noChangeAspect="1"/>
                    </pic:cNvPicPr>
                  </pic:nvPicPr>
                  <pic:blipFill>
                    <a:blip r:embed="rId30"/>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33"/>
    <w:bookmarkStart w:id="43"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41" name="Picture"/>
            <a:graphic>
              <a:graphicData uri="http://schemas.openxmlformats.org/drawingml/2006/picture">
                <pic:pic>
                  <pic:nvPicPr>
                    <pic:cNvPr descr="FiguresPNG/introtonumericalfractions-fig4.png" id="42" name="Picture"/>
                    <pic:cNvPicPr>
                      <a:picLocks noChangeArrowheads="1" noChangeAspect="1"/>
                    </pic:cNvPicPr>
                  </pic:nvPicPr>
                  <pic:blipFill>
                    <a:blip r:embed="rId40"/>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43"/>
    <w:bookmarkStart w:id="61"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49" name="Picture"/>
            <a:graphic>
              <a:graphicData uri="http://schemas.openxmlformats.org/drawingml/2006/picture">
                <pic:pic>
                  <pic:nvPicPr>
                    <pic:cNvPr descr="FiguresPNG/introtonumericalfractions-fig5.png" id="50" name="Picture"/>
                    <pic:cNvPicPr>
                      <a:picLocks noChangeArrowheads="1" noChangeAspect="1"/>
                    </pic:cNvPicPr>
                  </pic:nvPicPr>
                  <pic:blipFill>
                    <a:blip r:embed="rId48"/>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eqArr>
                  <m:e>
                    <m:r>
                      <m:t>&amp;</m:t>
                    </m:r>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e>
                    <m:r>
                      <m:t>&amp;</m:t>
                    </m:r>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e>
                    <m:r>
                      <m:t>&amp;</m:t>
                    </m:r>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eqArr>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54" name="Picture"/>
            <a:graphic>
              <a:graphicData uri="http://schemas.openxmlformats.org/drawingml/2006/picture">
                <pic:pic>
                  <pic:nvPicPr>
                    <pic:cNvPr descr="FiguresPNG/introtonumericalfractions-fig6.png" id="55" name="Picture"/>
                    <pic:cNvPicPr>
                      <a:picLocks noChangeArrowheads="1" noChangeAspect="1"/>
                    </pic:cNvPicPr>
                  </pic:nvPicPr>
                  <pic:blipFill>
                    <a:blip r:embed="rId5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61"/>
    <w:bookmarkStart w:id="85"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cr m:val="sans-serif"/>
                    <m:sty m:val="p"/>
                  </m:rPr>
                  <m:t>Factors of </m:t>
                </m:r>
                <m:r>
                  <m:t>20</m:t>
                </m:r>
                <m:r>
                  <m:rPr>
                    <m:nor/>
                    <m:scr m:val="sans-serif"/>
                    <m:sty m:val="p"/>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cr m:val="sans-serif"/>
                    <m:sty m:val="p"/>
                  </m:rPr>
                  <m:t>Factors of </m:t>
                </m:r>
                <m:r>
                  <m:t>30</m:t>
                </m:r>
                <m:r>
                  <m:rPr>
                    <m:nor/>
                    <m:scr m:val="sans-serif"/>
                    <m:sty m:val="p"/>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cr m:val="sans-serif"/>
                    <m:sty m:val="p"/>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cr m:val="sans-serif"/>
                    <m:sty m:val="p"/>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68">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eqArr>
                  <m:e>
                    <m:r>
                      <m:rPr>
                        <m:nor/>
                        <m:scr m:val="sans-serif"/>
                        <m:sty m:val="p"/>
                      </m:rPr>
                      <m:t>Factors of </m:t>
                    </m:r>
                    <m:r>
                      <m:t>12</m:t>
                    </m:r>
                    <m:r>
                      <m:rPr>
                        <m:nor/>
                        <m:scr m:val="sans-serif"/>
                        <m:sty m:val="p"/>
                      </m:rPr>
                      <m:t>:</m:t>
                    </m:r>
                    <m:r>
                      <m:t>&amp;</m:t>
                    </m:r>
                    <m:r>
                      <m:t> </m:t>
                    </m:r>
                    <m:r>
                      <m:t>1</m:t>
                    </m:r>
                    <m:r>
                      <m:t> </m:t>
                    </m:r>
                    <m:r>
                      <m:t>2</m:t>
                    </m:r>
                    <m:r>
                      <m:t> </m:t>
                    </m:r>
                    <m:r>
                      <m:t>3</m:t>
                    </m:r>
                    <m:r>
                      <m:t> </m:t>
                    </m:r>
                    <m:r>
                      <m:t>4</m:t>
                    </m:r>
                    <m:r>
                      <m:t> </m:t>
                    </m:r>
                    <m:r>
                      <m:t>6</m:t>
                    </m:r>
                    <m:r>
                      <m:t> </m:t>
                    </m:r>
                    <m:r>
                      <m:t>12</m:t>
                    </m:r>
                  </m:e>
                  <m:e>
                    <m:r>
                      <m:rPr>
                        <m:nor/>
                        <m:scr m:val="sans-serif"/>
                        <m:sty m:val="p"/>
                      </m:rPr>
                      <m:t>Factors of </m:t>
                    </m:r>
                    <m:r>
                      <m:t>18</m:t>
                    </m:r>
                    <m:r>
                      <m:rPr>
                        <m:nor/>
                        <m:scr m:val="sans-serif"/>
                        <m:sty m:val="p"/>
                      </m:rPr>
                      <m:t>:</m:t>
                    </m:r>
                    <m:r>
                      <m:t>&amp;</m:t>
                    </m:r>
                    <m:r>
                      <m:t> </m:t>
                    </m:r>
                    <m:r>
                      <m:t>1</m:t>
                    </m:r>
                    <m:r>
                      <m:t> </m:t>
                    </m:r>
                    <m:r>
                      <m:t>2</m:t>
                    </m:r>
                    <m:r>
                      <m:t> </m:t>
                    </m:r>
                    <m:r>
                      <m:t>3</m:t>
                    </m:r>
                    <m:r>
                      <m:t> </m:t>
                    </m:r>
                    <m:r>
                      <m:t>6</m:t>
                    </m:r>
                    <m:r>
                      <m:t> </m:t>
                    </m:r>
                    <m:r>
                      <m:t>9</m:t>
                    </m:r>
                    <m:r>
                      <m:t> </m:t>
                    </m:r>
                    <m:r>
                      <m:t>18</m:t>
                    </m:r>
                  </m:e>
                  <m:e>
                    <m:r>
                      <m:rPr>
                        <m:nor/>
                        <m:scr m:val="sans-serif"/>
                        <m:sty m:val="p"/>
                      </m:rPr>
                      <m:t>Common factors:</m:t>
                    </m:r>
                    <m:r>
                      <m:t>&amp;</m:t>
                    </m:r>
                    <m:r>
                      <m:t> </m:t>
                    </m:r>
                    <m:r>
                      <m:t>1</m:t>
                    </m:r>
                    <m:r>
                      <m:t> </m:t>
                    </m:r>
                    <m:r>
                      <m:t>2</m:t>
                    </m:r>
                    <m:r>
                      <m:t> </m:t>
                    </m:r>
                    <m:r>
                      <m:t>3</m:t>
                    </m:r>
                    <m:r>
                      <m:t> </m:t>
                    </m:r>
                    <m:r>
                      <m:t>6</m:t>
                    </m:r>
                  </m:e>
                  <m:e>
                    <m:r>
                      <m:rPr>
                        <m:nor/>
                        <m:scr m:val="sans-serif"/>
                        <m:sty m:val="p"/>
                      </m:rPr>
                      <m:t>Highest common factor:</m:t>
                    </m:r>
                    <m:r>
                      <m:t>&amp;</m:t>
                    </m:r>
                    <m:r>
                      <m:t> </m:t>
                    </m:r>
                    <m:r>
                      <m:t>6</m:t>
                    </m:r>
                  </m:e>
                </m:eqArr>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eqArr>
                  <m:e>
                    <m:r>
                      <m:rPr>
                        <m:nor/>
                        <m:scr m:val="sans-serif"/>
                        <m:sty m:val="p"/>
                      </m:rPr>
                      <m:t>Factors of </m:t>
                    </m:r>
                    <m:r>
                      <m:t>7</m:t>
                    </m:r>
                    <m:r>
                      <m:rPr>
                        <m:nor/>
                        <m:scr m:val="sans-serif"/>
                        <m:sty m:val="p"/>
                      </m:rPr>
                      <m:t>:</m:t>
                    </m:r>
                    <m:r>
                      <m:t>&amp;</m:t>
                    </m:r>
                    <m:r>
                      <m:t> </m:t>
                    </m:r>
                    <m:r>
                      <m:t>1</m:t>
                    </m:r>
                    <m:r>
                      <m:t> </m:t>
                    </m:r>
                    <m:r>
                      <m:t>7</m:t>
                    </m:r>
                  </m:e>
                  <m:e>
                    <m:r>
                      <m:rPr>
                        <m:nor/>
                        <m:scr m:val="sans-serif"/>
                        <m:sty m:val="p"/>
                      </m:rPr>
                      <m:t>Factors of </m:t>
                    </m:r>
                    <m:r>
                      <m:t>20</m:t>
                    </m:r>
                    <m:r>
                      <m:rPr>
                        <m:nor/>
                        <m:scr m:val="sans-serif"/>
                        <m:sty m:val="p"/>
                      </m:rPr>
                      <m:t>:</m:t>
                    </m:r>
                    <m:r>
                      <m:t>&amp;</m:t>
                    </m:r>
                    <m:r>
                      <m:t> </m:t>
                    </m:r>
                    <m:r>
                      <m:t>1</m:t>
                    </m:r>
                    <m:r>
                      <m:t> </m:t>
                    </m:r>
                    <m:r>
                      <m:t>2</m:t>
                    </m:r>
                    <m:r>
                      <m:t> </m:t>
                    </m:r>
                    <m:r>
                      <m:t>4</m:t>
                    </m:r>
                    <m:r>
                      <m:t> </m:t>
                    </m:r>
                    <m:r>
                      <m:t>5</m:t>
                    </m:r>
                    <m:r>
                      <m:t> </m:t>
                    </m:r>
                    <m:r>
                      <m:t>10</m:t>
                    </m:r>
                    <m:r>
                      <m:t> </m:t>
                    </m:r>
                    <m:r>
                      <m:t>20</m:t>
                    </m:r>
                  </m:e>
                  <m:e>
                    <m:r>
                      <m:rPr>
                        <m:nor/>
                        <m:scr m:val="sans-serif"/>
                        <m:sty m:val="p"/>
                      </m:rPr>
                      <m:t>Common factors:</m:t>
                    </m:r>
                    <m:r>
                      <m:t>&amp;</m:t>
                    </m:r>
                    <m:r>
                      <m:t> </m:t>
                    </m:r>
                    <m:r>
                      <m:t>1</m:t>
                    </m:r>
                  </m:e>
                </m:eqArr>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76" name="Picture"/>
            <a:graphic>
              <a:graphicData uri="http://schemas.openxmlformats.org/drawingml/2006/picture">
                <pic:pic>
                  <pic:nvPicPr>
                    <pic:cNvPr descr="FiguresPNG/introtonumericalfractions-fig7.png" id="77" name="Picture"/>
                    <pic:cNvPicPr>
                      <a:picLocks noChangeArrowheads="1" noChangeAspect="1"/>
                    </pic:cNvPicPr>
                  </pic:nvPicPr>
                  <pic:blipFill>
                    <a:blip r:embed="rId75"/>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warning.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w:t>
      </w:r>
    </w:p>
    <w:bookmarkEnd w:id="85"/>
    <w:bookmarkStart w:id="86"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86"/>
    <w:bookmarkStart w:id="90" w:name="further-reading"/>
    <w:p>
      <w:pPr>
        <w:pStyle w:val="Heading1"/>
      </w:pPr>
      <w:r>
        <w:t xml:space="preserve">Further reading</w:t>
      </w:r>
    </w:p>
    <w:p>
      <w:pPr>
        <w:pStyle w:val="FirstParagraph"/>
      </w:pPr>
      <w:hyperlink r:id="rId87">
        <w:r>
          <w:rPr>
            <w:rStyle w:val="Hyperlink"/>
          </w:rPr>
          <w:t xml:space="preserve">For more questions on the subject, please go to Questions: Introduction to fractions.</w:t>
        </w:r>
      </w:hyperlink>
    </w:p>
    <w:p>
      <w:pPr>
        <w:pStyle w:val="BodyText"/>
      </w:pPr>
      <w:hyperlink r:id="rId58">
        <w:r>
          <w:rPr>
            <w:rStyle w:val="Hyperlink"/>
          </w:rPr>
          <w:t xml:space="preserve">To learn how to perform arithmetic on numerical fractions, please see Guide: Arithmetic on numerical fractions.</w:t>
        </w:r>
      </w:hyperlink>
    </w:p>
    <w:bookmarkStart w:id="89"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82" Target="media/rId82.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2026-07-08T09:11:17Z</dcterms:created>
  <dcterms:modified xsi:type="dcterms:W3CDTF">2026-07-08T09:11:17Z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