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Trigonometric identities</w:t>
      </w:r>
    </w:p>
    <w:p>
      <w:pPr>
        <w:pStyle w:val="Author"/>
      </w:pPr>
      <w:r>
        <w:t xml:space="preserve">Shanelle Advani, Krish Chaudhary, Tom Coleman, Dzhemma Ruseva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Explanations as to why certain trigonometric identities are true.</w:t>
      </w:r>
    </w:p>
    <w:p>
      <w:pPr>
        <w:pStyle w:val="FirstParagraph"/>
      </w:pPr>
      <w:r>
        <w:rPr>
          <w:i/>
          <w:iCs/>
        </w:rPr>
        <w:t xml:space="preserve">Before reading this proof sheet,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Trigonometric identities (degrees)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or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Guide: Trigonometric identities (radians)</w:t>
        </w:r>
      </w:hyperlink>
      <w:r>
        <w:rPr>
          <w:i/>
          <w:iCs/>
        </w:rPr>
        <w:t xml:space="preserve">.</w:t>
      </w:r>
    </w:p>
    <w:bookmarkStart w:id="28" w:name="proof-of-pythagorean-identities"/>
    <w:p>
      <w:pPr>
        <w:pStyle w:val="Heading1"/>
      </w:pPr>
      <w:r>
        <w:t xml:space="preserve">Proof of Pythagorean identities</w:t>
      </w:r>
    </w:p>
    <w:p>
      <w:pPr>
        <w:pStyle w:val="FirstParagraph"/>
      </w:pPr>
      <w:r>
        <w:t xml:space="preserve">Remember from</w:t>
      </w:r>
      <w:r>
        <w:t xml:space="preserve"> </w:t>
      </w:r>
      <w:hyperlink r:id="rId20">
        <w:r>
          <w:rPr>
            <w:rStyle w:val="Hyperlink"/>
          </w:rPr>
          <w:t xml:space="preserve">Guide: Trigonometric identities (degrees)</w:t>
        </w:r>
      </w:hyperlink>
      <w:r>
        <w:t xml:space="preserve"> </w:t>
      </w:r>
      <w:r>
        <w:t xml:space="preserve">or</w:t>
      </w:r>
      <w:r>
        <w:t xml:space="preserve"> </w:t>
      </w:r>
      <w:hyperlink r:id="rId21">
        <w:r>
          <w:rPr>
            <w:rStyle w:val="Hyperlink"/>
          </w:rPr>
          <w:t xml:space="preserve">Guide: Trigonometric identities (radians)</w:t>
        </w:r>
      </w:hyperlink>
      <w:r>
        <w:t xml:space="preserve"> </w:t>
      </w:r>
      <w:r>
        <w:t xml:space="preserve">that the</w:t>
      </w:r>
      <w:r>
        <w:t xml:space="preserve"> </w:t>
      </w:r>
      <w:r>
        <w:rPr>
          <w:b/>
          <w:bCs/>
        </w:rPr>
        <w:t xml:space="preserve">Pythagorean identities</w:t>
      </w:r>
      <w:r>
        <w:t xml:space="preserve"> </w:t>
      </w:r>
      <w:r>
        <w:t xml:space="preserve">are:</w:t>
      </w:r>
    </w:p>
    <w:p>
      <w:pPr>
        <w:pStyle w:val="BodyText"/>
      </w:pP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Proof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pStyle w:val="BodyText"/>
            </w:pPr>
            <w:pPr>
              <w:spacing w:before="16"/>
            </w:pPr>
            <w:r>
              <w:t xml:space="preserve">You know from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Guide: Trigonometry (degrees)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Guide: Trigonometry (radians)</w:t>
              </w:r>
            </w:hyperlink>
            <w:r>
              <w:t xml:space="preserve"> </w:t>
            </w:r>
            <w:r>
              <w:t xml:space="preserve">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  <m:scr m:val="sans-serif"/>
                      </m:rPr>
                      <m:t>opposite</m:t>
                    </m:r>
                  </m:num>
                  <m:den>
                    <m:r>
                      <m:rPr>
                        <m:nor/>
                        <m:sty m:val="p"/>
                        <m:scr m:val="sans-serif"/>
                      </m:rPr>
                      <m:t>hypotenuse</m:t>
                    </m:r>
                  </m:den>
                </m:f>
                <m:r>
                  <m:t> </m:t>
                </m:r>
                <m:r>
                  <m:rPr>
                    <m:nor/>
                    <m:sty m:val="p"/>
                    <m:scr m:val="sans-serif"/>
                  </m:rPr>
                  <m:t> and </m:t>
                </m:r>
                <m:r>
                  <m:t> 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  <m:scr m:val="sans-serif"/>
                      </m:rPr>
                      <m:t>adjacent</m:t>
                    </m:r>
                  </m:num>
                  <m:den>
                    <m:r>
                      <m:rPr>
                        <m:nor/>
                        <m:sty m:val="p"/>
                        <m:scr m:val="sans-serif"/>
                      </m:rPr>
                      <m:t>hypotenuse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You can shorten these to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for opposite,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adjacent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for hypotenuse. Rearranging gives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From Pythagoras’ Theorem, you also know that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O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Replacing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with the expressions above, you get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cos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θ</m:t>
                            </m:r>
                          </m:e>
                        </m:d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sin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θ</m:t>
                            </m:r>
                          </m:e>
                        </m:d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H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Using the laws of indices (see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Guide: Laws of indices</w:t>
              </w:r>
            </w:hyperlink>
            <w:r>
              <w:t xml:space="preserve">), and using the standard notation</w:t>
            </w:r>
            <w:r>
              <w:t xml:space="preserve"> 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θ</m:t>
                          </m:r>
                        </m:e>
                      </m: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θ</m:t>
                          </m:r>
                        </m:e>
                      </m: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  <w:r>
              <w:t xml:space="preserve"> </w:t>
            </w:r>
            <w:r>
              <w:t xml:space="preserve">you can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H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+</m:t>
                </m:r>
                <m:sSup>
                  <m:e>
                    <m:r>
                      <m:t>H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H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Divide everything by the non-zero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 get: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cos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θ</m:t>
                        </m:r>
                      </m:e>
                    </m:d>
                  </m:num>
                  <m:den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sin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θ</m:t>
                        </m:r>
                      </m:e>
                    </m:d>
                  </m:num>
                  <m:den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Therefore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</w:tc>
      </w:tr>
    </w:tbl>
    <w:bookmarkEnd w:id="28"/>
    <w:bookmarkStart w:id="29" w:name="proof-of-sum-identities"/>
    <w:p>
      <w:pPr>
        <w:pStyle w:val="Heading1"/>
      </w:pPr>
      <w:r>
        <w:t xml:space="preserve">Proof of sum identities</w:t>
      </w:r>
    </w:p>
    <w:bookmarkEnd w:id="29"/>
    <w:bookmarkStart w:id="32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0">
        <w:r>
          <w:rPr>
            <w:rStyle w:val="Hyperlink"/>
          </w:rPr>
          <w:t xml:space="preserve">Guide: Trigonometric identities (degrees)</w:t>
        </w:r>
      </w:hyperlink>
    </w:p>
    <w:p>
      <w:pPr>
        <w:pStyle w:val="BodyText"/>
      </w:pPr>
      <w:hyperlink r:id="rId30">
        <w:r>
          <w:rPr>
            <w:rStyle w:val="Hyperlink"/>
          </w:rPr>
          <w:t xml:space="preserve">Questions: Trigonometric identities (degrees)</w:t>
        </w:r>
      </w:hyperlink>
    </w:p>
    <w:bookmarkStart w:id="31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04/24 by tdhc.</w:t>
      </w:r>
    </w:p>
    <w:bookmarkEnd w:id="31"/>
    <w:bookmarkEnd w:id="3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30" Target="../questions/qs-trigonometricidentities-degrees.qmd" TargetMode="External" /><Relationship Type="http://schemas.openxmlformats.org/officeDocument/2006/relationships/hyperlink" Id="rId27" Target="../studyguides/lawsofindices.qmd" TargetMode="External" /><Relationship Type="http://schemas.openxmlformats.org/officeDocument/2006/relationships/hyperlink" Id="rId20" Target="../studyguides/trigonometricidentities-degrees.qmd" TargetMode="External" /><Relationship Type="http://schemas.openxmlformats.org/officeDocument/2006/relationships/hyperlink" Id="rId21" Target="../studyguides/trigonometricidentities-radians.qmd" TargetMode="External" /><Relationship Type="http://schemas.openxmlformats.org/officeDocument/2006/relationships/hyperlink" Id="rId25" Target="../studyguides/trigonometry-degrees.qmd" TargetMode="External" /><Relationship Type="http://schemas.openxmlformats.org/officeDocument/2006/relationships/hyperlink" Id="rId26" Target="../studyguides/trigonometry-radian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../questions/qs-trigonometricidentities-degrees.qmd" TargetMode="External" /><Relationship Type="http://schemas.openxmlformats.org/officeDocument/2006/relationships/hyperlink" Id="rId27" Target="../studyguides/lawsofindices.qmd" TargetMode="External" /><Relationship Type="http://schemas.openxmlformats.org/officeDocument/2006/relationships/hyperlink" Id="rId20" Target="../studyguides/trigonometricidentities-degrees.qmd" TargetMode="External" /><Relationship Type="http://schemas.openxmlformats.org/officeDocument/2006/relationships/hyperlink" Id="rId21" Target="../studyguides/trigonometricidentities-radians.qmd" TargetMode="External" /><Relationship Type="http://schemas.openxmlformats.org/officeDocument/2006/relationships/hyperlink" Id="rId25" Target="../studyguides/trigonometry-degrees.qmd" TargetMode="External" /><Relationship Type="http://schemas.openxmlformats.org/officeDocument/2006/relationships/hyperlink" Id="rId26" Target="../studyguides/trigonometry-radian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Trigonometric identities</dc:title>
  <dc:creator>Shanelle Advani, Krish Chaudhary, Tom Coleman, Dzhemma Ruseva</dc:creator>
  <cp:keywords/>
  <dcterms:created xsi:type="dcterms:W3CDTF">2026-02-25T16:30:13Z</dcterms:created>
  <dcterms:modified xsi:type="dcterms:W3CDTF">2026-02-25T16:30:13Z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Explanations as to why certain trigonometric identities are true.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