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9.png" ContentType="image/png"/>
  <Override PartName="/word/media/rId65.png" ContentType="image/png"/>
  <Override PartName="/word/media/rId25.png" ContentType="image/png"/>
  <Override PartName="/word/media/rId22.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21"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20">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21"/>
    <w:bookmarkStart w:id="35"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ty m:val="p"/>
                  <m:scr m:val="double-struck"/>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d>
                <m:dPr>
                  <m:begChr m:val="("/>
                  <m:sepChr m:val=""/>
                  <m:endChr m:val=")"/>
                  <m:grow/>
                </m:dPr>
                <m:e>
                  <m:r>
                    <m:t>x</m:t>
                  </m:r>
                </m:e>
              </m:d>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35"/>
    <w:bookmarkStart w:id="41"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sSup>
          <m:e>
            <m:d>
              <m:dPr>
                <m:begChr m:val="("/>
                <m:sepChr m:val=""/>
                <m:endChr m:val=")"/>
                <m:grow/>
              </m:dPr>
              <m:e>
                <m:r>
                  <m:rPr>
                    <m:sty m:val="p"/>
                  </m:rPr>
                  <m:t>−</m:t>
                </m:r>
                <m:r>
                  <m:t>i</m:t>
                </m:r>
              </m:e>
            </m:d>
          </m:e>
          <m:sup>
            <m:r>
              <m:t>2</m:t>
            </m:r>
          </m:sup>
        </m:sSup>
      </m:oMath>
      <w:r>
        <w:t xml:space="preserve"> </w:t>
      </w:r>
      <w:r>
        <w:t xml:space="preserve">and using the laws of indices (see</w:t>
      </w:r>
      <w:r>
        <w:t xml:space="preserve"> </w:t>
      </w:r>
      <w:hyperlink r:id="rId36">
        <w:r>
          <w:rPr>
            <w:rStyle w:val="Hyperlink"/>
          </w:rPr>
          <w:t xml:space="preserve">Guide: Laws of indices</w:t>
        </w:r>
      </w:hyperlink>
      <w:r>
        <w:t xml:space="preserve">) gives</w:t>
      </w:r>
    </w:p>
    <w:p>
      <w:pPr>
        <w:pStyle w:val="BodyText"/>
      </w:pPr>
      <m:oMathPara>
        <m:oMathParaPr>
          <m:jc m:val="center"/>
        </m:oMathParaPr>
        <m:oMath>
          <m:sSup>
            <m:e>
              <m:d>
                <m:dPr>
                  <m:begChr m:val="("/>
                  <m:sepChr m:val=""/>
                  <m:endChr m:val=")"/>
                  <m:grow/>
                </m:dPr>
                <m:e>
                  <m:r>
                    <m:rPr>
                      <m:sty m:val="p"/>
                    </m:rPr>
                    <m:t>−</m:t>
                  </m:r>
                  <m:r>
                    <m:t>i</m:t>
                  </m:r>
                </m:e>
              </m:d>
            </m:e>
            <m:sup>
              <m:r>
                <m:t>2</m:t>
              </m:r>
            </m:sup>
          </m:sSup>
          <m:r>
            <m:rPr>
              <m:sty m:val="p"/>
            </m:rPr>
            <m:t>=</m:t>
          </m:r>
          <m:sSup>
            <m:e>
              <m:d>
                <m:dPr>
                  <m:begChr m:val="("/>
                  <m:sepChr m:val=""/>
                  <m:endChr m:val=")"/>
                  <m:grow/>
                </m:dPr>
                <m:e>
                  <m:r>
                    <m:rPr>
                      <m:sty m:val="p"/>
                    </m:rPr>
                    <m:t>−</m:t>
                  </m:r>
                  <m:r>
                    <m:t>1</m:t>
                  </m:r>
                  <m:r>
                    <m:rPr>
                      <m:sty m:val="p"/>
                    </m:rPr>
                    <m:t>⋅</m:t>
                  </m:r>
                  <m:r>
                    <m:t>i</m:t>
                  </m:r>
                </m:e>
              </m:d>
            </m:e>
            <m:sup>
              <m:r>
                <m:t>2</m:t>
              </m:r>
            </m:sup>
          </m:sSup>
          <m:r>
            <m:rPr>
              <m:sty m:val="p"/>
            </m:rPr>
            <m:t>=</m:t>
          </m:r>
          <m:sSup>
            <m:e>
              <m:d>
                <m:dPr>
                  <m:begChr m:val="("/>
                  <m:sepChr m:val=""/>
                  <m:endChr m:val=")"/>
                  <m:grow/>
                </m:dPr>
                <m:e>
                  <m:r>
                    <m:rPr>
                      <m:sty m:val="p"/>
                    </m:rPr>
                    <m:t>−</m:t>
                  </m:r>
                  <m:r>
                    <m:t>1</m:t>
                  </m:r>
                </m:e>
              </m:d>
            </m:e>
            <m:sup>
              <m:r>
                <m:t>2</m:t>
              </m:r>
            </m:sup>
          </m:sSup>
          <m:r>
            <m:rPr>
              <m:sty m:val="p"/>
            </m:rPr>
            <m:t>⋅</m:t>
          </m:r>
          <m:sSup>
            <m:e>
              <m:r>
                <m:t>i</m:t>
              </m:r>
            </m:e>
            <m:sup>
              <m:r>
                <m:t>2</m:t>
              </m:r>
            </m:sup>
          </m:sSup>
          <m:r>
            <m:rPr>
              <m:sty m:val="p"/>
            </m:rPr>
            <m:t>=</m:t>
          </m:r>
          <m:r>
            <m:t>1</m:t>
          </m:r>
          <m:r>
            <m:rPr>
              <m:sty m:val="p"/>
            </m:rPr>
            <m:t>⋅</m:t>
          </m:r>
          <m:d>
            <m:dPr>
              <m:begChr m:val="("/>
              <m:sepChr m:val=""/>
              <m:endChr m:val=")"/>
              <m:grow/>
            </m:dPr>
            <m:e>
              <m:r>
                <m:rPr>
                  <m:sty m:val="p"/>
                </m:rPr>
                <m:t>−</m:t>
              </m:r>
              <m:r>
                <m:t>1</m:t>
              </m:r>
            </m:e>
          </m:d>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ty m:val="p"/>
                    <m:scr m:val="sans-serif"/>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41"/>
    <w:bookmarkStart w:id="49"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ty m:val="p"/>
                  <m:scr m:val="sans-serif"/>
                </m:rPr>
                <m:t>Re</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Re</m:t>
              </m:r>
              <m:d>
                <m:dPr>
                  <m:begChr m:val="("/>
                  <m:sepChr m:val=""/>
                  <m:endChr m:val=")"/>
                  <m:grow/>
                </m:dPr>
                <m:e>
                  <m:r>
                    <m:t>z</m:t>
                  </m:r>
                </m:e>
              </m:d>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ty m:val="p"/>
                  <m:scr m:val="sans-serif"/>
                </m:rPr>
                <m:t>Im</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Im</m:t>
              </m:r>
              <m:d>
                <m:dPr>
                  <m:begChr m:val="("/>
                  <m:sepChr m:val=""/>
                  <m:endChr m:val=")"/>
                  <m:grow/>
                </m:dPr>
                <m:e>
                  <m:r>
                    <m:t>z</m:t>
                  </m:r>
                </m:e>
              </m:d>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d>
                <m:dPr>
                  <m:begChr m:val="("/>
                  <m:sepChr m:val=""/>
                  <m:endChr m:val=")"/>
                  <m:grow/>
                </m:dPr>
                <m:e>
                  <m:r>
                    <m:t>z</m:t>
                  </m:r>
                </m:e>
              </m:d>
            </m:oMath>
            <w:r>
              <w:t xml:space="preserve">, and the imaginary part as</w:t>
            </w:r>
            <w:r>
              <w:t xml:space="preserve"> </w:t>
            </w:r>
            <m:oMath>
              <m:r>
                <m:rPr>
                  <m:sty m:val="p"/>
                </m:rPr>
                <m:t>ℑ</m:t>
              </m:r>
              <m:d>
                <m:dPr>
                  <m:begChr m:val="("/>
                  <m:sepChr m:val=""/>
                  <m:endChr m:val=")"/>
                  <m:grow/>
                </m:dPr>
                <m:e>
                  <m:r>
                    <m:t>z</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ty m:val="p"/>
            <m:scr m:val="sans-serif"/>
          </m:rPr>
          <m:t>Im</m:t>
        </m:r>
        <m:d>
          <m:dPr>
            <m:begChr m:val="("/>
            <m:sepChr m:val=""/>
            <m:endChr m:val=")"/>
            <m:grow/>
          </m:dPr>
          <m:e>
            <m:r>
              <m:t>z</m:t>
            </m:r>
          </m:e>
        </m:d>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ty m:val="p"/>
            <m:scr m:val="sans-serif"/>
          </m:rPr>
          <m:t>Re</m:t>
        </m:r>
        <m:d>
          <m:dPr>
            <m:begChr m:val="("/>
            <m:sepChr m:val=""/>
            <m:endChr m:val=")"/>
            <m:grow/>
          </m:dPr>
          <m:e>
            <m:r>
              <m:t>z</m:t>
            </m:r>
          </m:e>
        </m:d>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49"/>
    <w:bookmarkStart w:id="54"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ty m:val="p"/>
            <m:scr m:val="sans-serif"/>
          </m:rPr>
          <m:t>Re</m:t>
        </m:r>
        <m:d>
          <m:dPr>
            <m:begChr m:val="("/>
            <m:sepChr m:val=""/>
            <m:endChr m:val=")"/>
            <m:grow/>
          </m:dPr>
          <m:e>
            <m:r>
              <m:t>z</m:t>
            </m:r>
          </m:e>
        </m:d>
        <m:r>
          <m:rPr>
            <m:sty m:val="p"/>
          </m:rPr>
          <m:t>=</m:t>
        </m:r>
        <m:r>
          <m:t>a</m:t>
        </m:r>
      </m:oMath>
      <w:r>
        <w:t xml:space="preserve"> </w:t>
      </w:r>
      <w:r>
        <w:t xml:space="preserve">then</w:t>
      </w:r>
      <w:r>
        <w:t xml:space="preserve"> </w:t>
      </w:r>
      <m:oMath>
        <m:r>
          <m:rPr>
            <m:nor/>
            <m:sty m:val="p"/>
            <m:scr m:val="sans-serif"/>
          </m:rPr>
          <m:t>Re</m:t>
        </m:r>
        <m:d>
          <m:dPr>
            <m:begChr m:val="("/>
            <m:sepChr m:val=""/>
            <m:endChr m:val=")"/>
            <m:grow/>
          </m:dPr>
          <m:e>
            <m:acc>
              <m:accPr>
                <m:chr m:val="‾"/>
              </m:accPr>
              <m:e>
                <m:r>
                  <m:t>z</m:t>
                </m:r>
              </m:e>
            </m:acc>
          </m:e>
        </m:d>
        <m:r>
          <m:rPr>
            <m:sty m:val="p"/>
          </m:rPr>
          <m:t>=</m:t>
        </m:r>
        <m:r>
          <m:t>a</m:t>
        </m:r>
      </m:oMath>
      <w:r>
        <w:t xml:space="preserve">, and if</w:t>
      </w:r>
      <w:r>
        <w:t xml:space="preserve"> </w:t>
      </w:r>
      <m:oMath>
        <m:r>
          <m:rPr>
            <m:nor/>
            <m:sty m:val="p"/>
            <m:scr m:val="sans-serif"/>
          </m:rPr>
          <m:t>Im</m:t>
        </m:r>
        <m:d>
          <m:dPr>
            <m:begChr m:val="("/>
            <m:sepChr m:val=""/>
            <m:endChr m:val=")"/>
            <m:grow/>
          </m:dPr>
          <m:e>
            <m:r>
              <m:t>z</m:t>
            </m:r>
          </m:e>
        </m:d>
        <m:r>
          <m:rPr>
            <m:sty m:val="p"/>
          </m:rPr>
          <m:t>=</m:t>
        </m:r>
        <m:r>
          <m:t>b</m:t>
        </m:r>
      </m:oMath>
      <w:r>
        <w:t xml:space="preserve"> </w:t>
      </w:r>
      <w:r>
        <w:t xml:space="preserve">then</w:t>
      </w:r>
      <w:r>
        <w:t xml:space="preserve"> </w:t>
      </w:r>
      <m:oMath>
        <m:r>
          <m:rPr>
            <m:nor/>
            <m:sty m:val="p"/>
            <m:scr m:val="sans-serif"/>
          </m:rPr>
          <m:t>Im</m:t>
        </m:r>
        <m:d>
          <m:dPr>
            <m:begChr m:val="("/>
            <m:sepChr m:val=""/>
            <m:endChr m:val=")"/>
            <m:grow/>
          </m:dPr>
          <m:e>
            <m:acc>
              <m:accPr>
                <m:chr m:val="‾"/>
              </m:accPr>
              <m:e>
                <m:r>
                  <m:t>z</m:t>
                </m:r>
              </m:e>
            </m:acc>
          </m:e>
        </m:d>
        <m:r>
          <m:rPr>
            <m:sty m:val="p"/>
          </m:rPr>
          <m:t>=</m:t>
        </m:r>
        <m:r>
          <m:rPr>
            <m:sty m:val="p"/>
          </m:rPr>
          <m:t>−</m:t>
        </m:r>
        <m:r>
          <m:t>b</m:t>
        </m:r>
      </m:oMath>
      <w:r>
        <w:t xml:space="preserve">.</w:t>
      </w:r>
    </w:p>
    <w:bookmarkEnd w:id="54"/>
    <w:bookmarkStart w:id="69"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ty m:val="p"/>
            <m:scr m:val="double-struck"/>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d>
          <m:dPr>
            <m:begChr m:val="("/>
            <m:sepChr m:val=""/>
            <m:endChr m:val=")"/>
            <m:grow/>
          </m:dPr>
          <m:e>
            <m:r>
              <m:t>a</m:t>
            </m:r>
            <m:r>
              <m:rPr>
                <m:sty m:val="p"/>
              </m:rPr>
              <m:t>,</m:t>
            </m:r>
            <m:r>
              <m:t>b</m:t>
            </m:r>
          </m:e>
        </m:d>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8" w:name="fig-1"/>
          <w:p>
            <w:pPr>
              <w:pStyle w:val="Compact"/>
              <w:jc w:val="center"/>
            </w:pPr>
            <w:r>
              <w:drawing>
                <wp:inline>
                  <wp:extent cx="5755521" cy="2360925"/>
                  <wp:effectExtent b="0" l="0" r="0" t="0"/>
                  <wp:docPr descr="" title="" id="56" name="Picture"/>
                  <a:graphic>
                    <a:graphicData uri="http://schemas.openxmlformats.org/drawingml/2006/picture">
                      <pic:pic>
                        <pic:nvPicPr>
                          <pic:cNvPr descr="./FiguresPNG/introtocomplex-fig1-3.png" id="57" name="Picture"/>
                          <pic:cNvPicPr>
                            <a:picLocks noChangeArrowheads="1" noChangeAspect="1"/>
                          </pic:cNvPicPr>
                        </pic:nvPicPr>
                        <pic:blipFill>
                          <a:blip r:embed="rId55"/>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58"/>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d>
          <m:dPr>
            <m:begChr m:val="("/>
            <m:sepChr m:val=""/>
            <m:endChr m:val=")"/>
            <m:grow/>
          </m:dPr>
          <m:e>
            <m:r>
              <m:t>a</m:t>
            </m:r>
            <m:r>
              <m:rPr>
                <m:sty m:val="p"/>
              </m:rPr>
              <m:t>,</m:t>
            </m:r>
            <m:r>
              <m:t>b</m:t>
            </m:r>
          </m:e>
        </m:d>
        <m:r>
          <m:rPr>
            <m:sty m:val="p"/>
          </m:rPr>
          <m:t>=</m:t>
        </m:r>
        <m:d>
          <m:dPr>
            <m:begChr m:val="("/>
            <m:sepChr m:val=""/>
            <m:endChr m:val=")"/>
            <m:grow/>
          </m:dPr>
          <m:e>
            <m:r>
              <m:rPr>
                <m:sty m:val="p"/>
                <m:scr m:val="sans-serif"/>
              </m:rPr>
              <m:t>R</m:t>
            </m:r>
            <m:r>
              <m:rPr>
                <m:sty m:val="p"/>
                <m:scr m:val="sans-serif"/>
              </m:rPr>
              <m:t>e</m:t>
            </m:r>
            <m:d>
              <m:dPr>
                <m:begChr m:val="("/>
                <m:sepChr m:val=""/>
                <m:endChr m:val=")"/>
                <m:grow/>
              </m:dPr>
              <m:e>
                <m:r>
                  <m:t>z</m:t>
                </m:r>
              </m:e>
            </m:d>
            <m:r>
              <m:rPr>
                <m:sty m:val="p"/>
              </m:rPr>
              <m:t>,</m:t>
            </m:r>
            <m:r>
              <m:rPr>
                <m:sty m:val="p"/>
                <m:scr m:val="sans-serif"/>
              </m:rPr>
              <m:t>I</m:t>
            </m:r>
            <m:r>
              <m:rPr>
                <m:sty m:val="p"/>
                <m:scr m:val="sans-serif"/>
              </m:rPr>
              <m:t>m</m:t>
            </m:r>
            <m:d>
              <m:dPr>
                <m:begChr m:val="("/>
                <m:sepChr m:val=""/>
                <m:endChr m:val=")"/>
                <m:grow/>
              </m:dPr>
              <m:e>
                <m:r>
                  <m:t>z</m:t>
                </m:r>
              </m:e>
            </m:d>
          </m:e>
        </m:d>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62" w:name="fig-2"/>
          <w:p>
            <w:pPr>
              <w:pStyle w:val="Compact"/>
              <w:jc w:val="center"/>
            </w:pPr>
            <w:r>
              <w:drawing>
                <wp:inline>
                  <wp:extent cx="5755521" cy="2296703"/>
                  <wp:effectExtent b="0" l="0" r="0" t="0"/>
                  <wp:docPr descr="" title="" id="60" name="Picture"/>
                  <a:graphic>
                    <a:graphicData uri="http://schemas.openxmlformats.org/drawingml/2006/picture">
                      <pic:pic>
                        <pic:nvPicPr>
                          <pic:cNvPr descr="./FiguresPNG/introtocomplex-fig2-2.png" id="61" name="Picture"/>
                          <pic:cNvPicPr>
                            <a:picLocks noChangeArrowheads="1" noChangeAspect="1"/>
                          </pic:cNvPicPr>
                        </pic:nvPicPr>
                        <pic:blipFill>
                          <a:blip r:embed="rId59"/>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6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 so this corresponds to the point</w:t>
            </w:r>
            <w:r>
              <w:t xml:space="preserve"> </w:t>
            </w:r>
            <m:oMath>
              <m:d>
                <m:dPr>
                  <m:begChr m:val="("/>
                  <m:sepChr m:val=""/>
                  <m:endChr m:val=")"/>
                  <m:grow/>
                </m:dPr>
                <m:e>
                  <m:r>
                    <m:t>1</m:t>
                  </m:r>
                  <m:r>
                    <m:rPr>
                      <m:sty m:val="p"/>
                    </m:rPr>
                    <m:t>,</m:t>
                  </m:r>
                  <m:r>
                    <m:t>3</m:t>
                  </m:r>
                </m:e>
              </m:d>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 This corresponds to the point</w:t>
            </w:r>
            <w:r>
              <w:t xml:space="preserve"> </w:t>
            </w:r>
            <m:oMath>
              <m:d>
                <m:dPr>
                  <m:begChr m:val="("/>
                  <m:sepChr m:val=""/>
                  <m:endChr m:val=")"/>
                  <m:grow/>
                </m:dPr>
                <m:e>
                  <m:r>
                    <m:rPr>
                      <m:sty m:val="p"/>
                    </m:rPr>
                    <m:t>−</m:t>
                  </m:r>
                  <m:r>
                    <m:t>4</m:t>
                  </m:r>
                  <m:r>
                    <m:rPr>
                      <m:sty m:val="p"/>
                    </m:rPr>
                    <m:t>,</m:t>
                  </m:r>
                  <m:r>
                    <m:t>6</m:t>
                  </m:r>
                </m:e>
              </m:d>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 This corresponds to the point</w:t>
            </w:r>
            <w:r>
              <w:t xml:space="preserve"> </w:t>
            </w:r>
            <m:oMath>
              <m:d>
                <m:dPr>
                  <m:begChr m:val="("/>
                  <m:sepChr m:val=""/>
                  <m:endChr m:val=")"/>
                  <m:grow/>
                </m:dPr>
                <m:e>
                  <m:r>
                    <m:t>8</m:t>
                  </m:r>
                  <m:r>
                    <m:rPr>
                      <m:sty m:val="p"/>
                    </m:rPr>
                    <m:t>/</m:t>
                  </m:r>
                  <m:r>
                    <m:t>3</m:t>
                  </m:r>
                  <m:r>
                    <m:rPr>
                      <m:sty m:val="p"/>
                    </m:rPr>
                    <m:t>,</m:t>
                  </m:r>
                  <m:r>
                    <m:rPr>
                      <m:sty m:val="p"/>
                    </m:rPr>
                    <m:t>−</m:t>
                  </m:r>
                  <m:r>
                    <m:t>13</m:t>
                  </m:r>
                  <m:r>
                    <m:rPr>
                      <m:sty m:val="p"/>
                    </m:rPr>
                    <m:t>/</m:t>
                  </m:r>
                  <m:r>
                    <m:t>5</m:t>
                  </m:r>
                </m:e>
              </m:d>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 This corresponds to the point</w:t>
            </w:r>
            <w:r>
              <w:t xml:space="preserve"> </w:t>
            </w:r>
            <m:oMath>
              <m:d>
                <m:dPr>
                  <m:begChr m:val="("/>
                  <m:sepChr m:val=""/>
                  <m:endChr m:val=")"/>
                  <m:grow/>
                </m:dPr>
                <m:e>
                  <m:r>
                    <m:rPr>
                      <m:sty m:val="p"/>
                    </m:rPr>
                    <m:t>−</m:t>
                  </m:r>
                  <m:r>
                    <m:t>π</m:t>
                  </m:r>
                  <m:r>
                    <m:rPr>
                      <m:sty m:val="p"/>
                    </m:rPr>
                    <m:t>,</m:t>
                  </m:r>
                  <m:r>
                    <m:rPr>
                      <m:sty m:val="p"/>
                    </m:rPr>
                    <m:t>−</m:t>
                  </m:r>
                  <m:r>
                    <m:t>π</m:t>
                  </m:r>
                </m:e>
              </m:d>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 This corresponds to a point</w:t>
            </w:r>
            <w:r>
              <w:t xml:space="preserve"> </w:t>
            </w:r>
            <m:oMath>
              <m:d>
                <m:dPr>
                  <m:begChr m:val="("/>
                  <m:sepChr m:val=""/>
                  <m:endChr m:val=")"/>
                  <m:grow/>
                </m:dPr>
                <m:e>
                  <m:r>
                    <m:t>0</m:t>
                  </m:r>
                  <m:r>
                    <m:rPr>
                      <m:sty m:val="p"/>
                    </m:rPr>
                    <m:t>,</m:t>
                  </m:r>
                  <m:r>
                    <m:t>4</m:t>
                  </m:r>
                </m:e>
              </m:d>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d>
                <m:dPr>
                  <m:begChr m:val="("/>
                  <m:sepChr m:val=""/>
                  <m:endChr m:val=")"/>
                  <m:grow/>
                </m:dPr>
                <m:e>
                  <m:r>
                    <m:t>2</m:t>
                  </m:r>
                  <m:r>
                    <m:rPr>
                      <m:sty m:val="p"/>
                    </m:rPr>
                    <m:t>,</m:t>
                  </m:r>
                  <m:r>
                    <m:t>0</m:t>
                  </m:r>
                </m:e>
              </m:d>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r>
              <w:drawing>
                <wp:inline>
                  <wp:extent cx="5755521" cy="2296703"/>
                  <wp:effectExtent b="0" l="0" r="0" t="0"/>
                  <wp:docPr descr="" title="" id="66" name="Picture"/>
                  <a:graphic>
                    <a:graphicData uri="http://schemas.openxmlformats.org/drawingml/2006/picture">
                      <pic:pic>
                        <pic:nvPicPr>
                          <pic:cNvPr descr="./FiguresPNG/introtocomplex-fig3-1.png" id="67" name="Picture"/>
                          <pic:cNvPicPr>
                            <a:picLocks noChangeArrowheads="1" noChangeAspect="1"/>
                          </pic:cNvPicPr>
                        </pic:nvPicPr>
                        <pic:blipFill>
                          <a:blip r:embed="rId65"/>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68"/>
        </w:tc>
      </w:tr>
    </w:tbl>
    <w:bookmarkEnd w:id="69"/>
    <w:bookmarkStart w:id="70"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70"/>
    <w:bookmarkStart w:id="75"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complex numbers.</w:t>
        </w:r>
      </w:hyperlink>
    </w:p>
    <w:p>
      <w:pPr>
        <w:pStyle w:val="BodyText"/>
      </w:pPr>
      <w:hyperlink r:id="rId72">
        <w:r>
          <w:rPr>
            <w:rStyle w:val="Hyperlink"/>
          </w:rPr>
          <w:t xml:space="preserve">For how to add, subtract, multiply, and divide complex numbers, please go to Guide: Arithmetic on complex numbers.</w:t>
        </w:r>
      </w:hyperlink>
    </w:p>
    <w:bookmarkStart w:id="74" w:name="version-history"/>
    <w:p>
      <w:pPr>
        <w:pStyle w:val="Heading2"/>
      </w:pPr>
      <w:r>
        <w:t xml:space="preserve">Version history</w:t>
      </w:r>
    </w:p>
    <w:p>
      <w:pPr>
        <w:pStyle w:val="FirstParagraph"/>
      </w:pPr>
      <w:r>
        <w:t xml:space="preserve">v1.0: initial version created 10/24 by tdhc.</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2026-02-25T16:25:15Z</dcterms:created>
  <dcterms:modified xsi:type="dcterms:W3CDTF">2026-02-25T16:25:15Z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FiguresPNG/introtocomplex-image.png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