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5.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2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29"/>
    <w:bookmarkStart w:id="5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8">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6"/>
    <w:bookmarkStart w:id="5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7">
        <w:r>
          <w:rPr>
            <w:rStyle w:val="Hyperlink"/>
          </w:rPr>
          <w:t xml:space="preserve">Guide: The quotient rule</w:t>
        </w:r>
      </w:hyperlink>
      <w:r>
        <w:t xml:space="preserve">, and</w:t>
      </w:r>
      <w:r>
        <w:t xml:space="preserve"> </w:t>
      </w:r>
      <w:hyperlink r:id="rId4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59">
        <w:r>
          <w:rPr>
            <w:rStyle w:val="Hyperlink"/>
          </w:rPr>
          <w:t xml:space="preserve">Proof sheet: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2026-02-25T16:21:23Z</dcterms:created>
  <dcterms:modified xsi:type="dcterms:W3CDTF">2026-02-25T16:21:23Z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