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 [Proof sheet: Rules of differentiation.]</w:t>
      </w:r>
    </w:p>
    <w:bookmarkEnd w:id="32"/>
    <w:bookmarkStart w:id="4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39">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7"/>
    <w:bookmarkStart w:id="6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1">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5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4"/>
    <w:bookmarkEnd w:id="65"/>
    <w:bookmarkStart w:id="6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6"/>
    <w:bookmarkStart w:id="71" w:name="further-reading"/>
    <w:p>
      <w:pPr>
        <w:pStyle w:val="Heading1"/>
      </w:pPr>
      <w:r>
        <w:t xml:space="preserve">Further reading</w:t>
      </w:r>
    </w:p>
    <w:p>
      <w:pPr>
        <w:pStyle w:val="FirstParagraph"/>
      </w:pPr>
      <w:hyperlink r:id="rId6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0">
        <w:r>
          <w:rPr>
            <w:rStyle w:val="Hyperlink"/>
          </w:rPr>
          <w:t xml:space="preserve">Guide: The product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8">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2026-02-25T16:26:35Z</dcterms:created>
  <dcterms:modified xsi:type="dcterms:W3CDTF">2026-02-25T16:26:35Z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