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The product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product rule.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The product rule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1.3. As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 function becomes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26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1.7. Take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inside the first bracket so the function becomes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—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10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20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1.9. Using the definitions of</w:t>
      </w:r>
      <w:r>
        <w:t xml:space="preserve"> </w:t>
      </w:r>
      <m:oMath>
        <m:r>
          <m:rPr>
            <m:sty m:val="p"/>
          </m:rPr>
          <m:t>cosh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sinh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sinh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3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cosh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1.12. Since</w:t>
      </w:r>
      <w:r>
        <w:t xml:space="preserve"> </w:t>
      </w:r>
      <m:oMath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, it follows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1.13. Factorize to get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sup>
        </m:sSup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sinh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cosh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r>
          <m:rPr>
            <m:sty m:val="p"/>
          </m:rPr>
          <m:t>sinh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1.16. Using the product rule twice here: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(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1.19. Using the product rule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—</w:t>
      </w:r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product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product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The product rule</dc:title>
  <dc:creator>Sara Delgado Garcia</dc:creator>
  <cp:keywords/>
  <dcterms:created xsi:type="dcterms:W3CDTF">2026-10-07T14:05:16Z</dcterms:created>
  <dcterms:modified xsi:type="dcterms:W3CDTF">2026-10-07T14:05:16Z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product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