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Effective Date</w:t>
      </w:r>
    </w:p>
    <w:p>
      <w:r>
        <w:t>This procedure is effective from 2024-03-20.</w:t>
      </w:r>
    </w:p>
    <w:p>
      <w:pPr>
        <w:pStyle w:val="Heading1"/>
      </w:pPr>
      <w:r>
        <w:t>Storage Temperature</w:t>
      </w:r>
    </w:p>
    <w:p>
      <w:r>
        <w:t>Store the reference standard at -70°C.</w:t>
      </w:r>
    </w:p>
    <w:p>
      <w:pPr>
        <w:pStyle w:val="Heading1"/>
      </w:pPr>
      <w:r>
        <w:t>Batch Size</w:t>
      </w:r>
    </w:p>
    <w:p>
      <w:r>
        <w:t>Manufacture in batches of 2,000 mg per lot.</w:t>
      </w:r>
    </w:p>
    <w:p>
      <w:pPr>
        <w:pStyle w:val="Heading1"/>
      </w:pPr>
      <w:r>
        <w:t>Reference Standard Weighing</w:t>
      </w:r>
    </w:p>
    <w:p>
      <w:r>
        <w:t>Weigh 55 mg of Batch 13 reference standard for the assay.</w:t>
      </w:r>
    </w:p>
    <w:p>
      <w:pPr>
        <w:pStyle w:val="Heading1"/>
      </w:pPr>
      <w:r>
        <w:t>Container Specification</w:t>
      </w:r>
    </w:p>
    <w:p>
      <w:r>
        <w:t>Dispense the solution into a 10 L amber glass vial.</w:t>
      </w:r>
    </w:p>
    <w:p>
      <w:pPr>
        <w:pStyle w:val="Heading1"/>
      </w:pPr>
      <w:r>
        <w:t>Calibration Frequency</w:t>
      </w:r>
    </w:p>
    <w:p>
      <w:r>
        <w:t>Calibrate the analytical balance every 30 days using a 200 g reference weight.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