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2"/>
        </w:rPr>
        <w:t>Scope</w:t>
      </w:r>
    </w:p>
    <w:p>
      <w:r>
        <w:t>This procedure applies to the manufacture of Product X tablets at Site A.</w:t>
      </w:r>
    </w:p>
    <w:p>
      <w:r>
        <w:rPr>
          <w:sz w:val="32"/>
        </w:rPr>
        <w:t>Responsibilities</w:t>
      </w:r>
    </w:p>
    <w:p>
      <w:r>
        <w:t>The Quality Assurance Manager shall review and approve all batch records prior to release.</w:t>
      </w:r>
    </w:p>
    <w:p>
      <w:r>
        <w:rPr>
          <w:sz w:val="32"/>
        </w:rPr>
        <w:t>Materials</w:t>
      </w:r>
    </w:p>
    <w:p>
      <w:r>
        <w:t>The active ingredient shall be stored at 36°F to 46°F prior to use.</w:t>
      </w:r>
    </w:p>
    <w:p>
      <w:r>
        <w:rPr>
          <w:sz w:val="32"/>
        </w:rPr>
        <w:t>Assay Acceptance Criteria</w:t>
      </w:r>
    </w:p>
    <w:p>
      <w:r>
        <w:t>Assay acceptance criterion: 98.0% to 102.0%.</w:t>
      </w:r>
    </w:p>
    <w:p>
      <w:r>
        <w:rPr>
          <w:sz w:val="32"/>
        </w:rPr>
        <w:t>Sample Preparation</w:t>
      </w:r>
    </w:p>
    <w:p>
      <w:r>
        <w:t>Weigh 20 mg of sample and dilute to 200 mL with mobile phase.</w:t>
      </w:r>
    </w:p>
    <w:p>
      <w:r>
        <w:rPr>
          <w:sz w:val="32"/>
        </w:rPr>
        <w:t>Sample Analysis</w:t>
      </w:r>
    </w:p>
    <w:p>
      <w:r>
        <w:t>Filter the sample through a membrane, then inject 20 microliters into the HPLC system and record the chromatogram.</w:t>
      </w:r>
    </w:p>
    <w:p>
      <w:r>
        <w:rPr>
          <w:sz w:val="32"/>
        </w:rPr>
        <w:t>Effective Date</w:t>
      </w:r>
    </w:p>
    <w:p>
      <w:r>
        <w:t>This procedure is effective from 15 Mar 2024.</w:t>
      </w:r>
    </w:p>
    <w:p>
      <w:r>
        <w:rPr>
          <w:sz w:val="32"/>
        </w:rPr>
        <w:t>Reference Documents</w:t>
      </w:r>
    </w:p>
    <w:p>
      <w:r>
        <w:t>Refer to the Analytical Validation SOP for detailed calculation methods.</w:t>
      </w:r>
    </w:p>
    <w:p>
      <w:r>
        <w:rPr>
          <w:sz w:val="32"/>
        </w:rPr>
        <w:t>Storage and Shelf Life</w:t>
      </w:r>
    </w:p>
    <w:p>
      <w:r>
        <w:t>Material shall not be used beyond 24 months from the date of manufacture.</w:t>
      </w:r>
    </w:p>
    <w:p>
      <w:r>
        <w:rPr>
          <w:sz w:val="32"/>
        </w:rPr>
        <w:t>Training Requirements</w:t>
      </w:r>
    </w:p>
    <w:p>
      <w:r>
        <w:t>All analysts performing this procedure shall complete method-specific training prior to independent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