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Standard Operating Procedure: Tablet Compression</w:t>
      </w:r>
    </w:p>
    <w:p>
      <w:pPr>
        <w:pStyle w:val="Heading1"/>
      </w:pPr>
      <w:r>
        <w:t>1.0 Purpose</w:t>
      </w:r>
    </w:p>
    <w:p>
      <w:r>
        <w:t>This document defines the procedure for tablet compression, including equipment setup and in-process controls.</w:t>
      </w:r>
    </w:p>
    <w:p>
      <w:pPr>
        <w:pStyle w:val="Heading1"/>
      </w:pPr>
      <w:r>
        <w:t>2.0 Scope</w:t>
      </w:r>
    </w:p>
    <w:p>
      <w:r>
        <w:t>This SOP applies to all manufacturing personnel operating the tablet press.</w:t>
      </w:r>
    </w:p>
    <w:p>
      <w:pPr>
        <w:pStyle w:val="Heading1"/>
      </w:pPr>
      <w:r>
        <w:t>3.0 Materials and Equipment</w:t>
      </w:r>
    </w:p>
    <w:p>
      <w:r>
        <w:t>Required materials include compression tooling, lubricant, and calibrated weights.</w:t>
      </w:r>
    </w:p>
    <w:p>
      <w:pPr>
        <w:pStyle w:val="Heading1"/>
      </w:pPr>
      <w:r>
        <w:t>4.0 Procedure</w:t>
      </w:r>
    </w:p>
    <w:p>
      <w:r>
        <w:t>Compression force shall be maintained at 15 kN ± 2 kN throughout the run.</w:t>
      </w:r>
      <w:r>
        <w:footnoteReference w:id="1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Target</w:t>
            </w:r>
          </w:p>
        </w:tc>
        <w:tc>
          <w:tcPr>
            <w:tcW w:type="dxa" w:w="2880"/>
          </w:tcPr>
          <w:p>
            <w:r>
              <w:t>Actual</w:t>
            </w:r>
          </w:p>
        </w:tc>
      </w:tr>
      <w:tr>
        <w:tc>
          <w:tcPr>
            <w:tcW w:type="dxa" w:w="2880"/>
          </w:tcPr>
          <w:p>
            <w:r>
              <w:t>Compression Force</w:t>
            </w:r>
          </w:p>
        </w:tc>
        <w:tc>
          <w:tcPr>
            <w:tcW w:type="dxa" w:w="2880"/>
          </w:tcPr>
          <w:p>
            <w:r>
              <w:t>15 kN</w:t>
            </w:r>
          </w:p>
        </w:tc>
        <w:tc>
          <w:tcPr>
            <w:tcW w:type="dxa" w:w="2880"/>
          </w:tcPr>
          <w:p>
            <w:r>
              <w:t>14.8 kN</w:t>
            </w:r>
          </w:p>
        </w:tc>
      </w:tr>
      <w:tr>
        <w:tc>
          <w:tcPr>
            <w:tcW w:type="dxa" w:w="2880"/>
          </w:tcPr>
          <w:p>
            <w:r>
              <w:t>Tablet Weight</w:t>
            </w:r>
          </w:p>
        </w:tc>
        <w:tc>
          <w:tcPr>
            <w:tcW w:type="dxa" w:w="2880"/>
          </w:tcPr>
          <w:p>
            <w:r>
              <w:t>500 mg</w:t>
            </w:r>
          </w:p>
        </w:tc>
        <w:tc>
          <w:tcPr>
            <w:tcW w:type="dxa" w:w="2880"/>
          </w:tcPr>
          <w:p>
            <w:r>
              <w:t>498 mg</w:t>
            </w:r>
          </w:p>
        </w:tc>
      </w:tr>
    </w:tbl>
    <w:p>
      <w:pPr>
        <w:pStyle w:val="Heading1"/>
      </w:pPr>
      <w:r>
        <w:t>5.0 In-Process Controls</w:t>
      </w:r>
    </w:p>
    <w:p>
      <w:r>
        <w:t>Tablet weight and hardness shall be checked every 30 minutes during the run.</w:t>
      </w:r>
    </w:p>
    <w:p>
      <w:pPr>
        <w:pStyle w:val="Heading1"/>
      </w:pPr>
      <w:r>
        <w:t>6.0 Quality Control Release</w:t>
      </w:r>
    </w:p>
    <w:p>
      <w:r>
        <w:t>QC shall release the batch after reviewing all in-process control records.</w:t>
      </w:r>
    </w:p>
    <w:p>
      <w:pPr>
        <w:pStyle w:val="Heading1"/>
      </w:pPr>
      <w:r>
        <w:t>7.0 References</w:t>
      </w:r>
    </w:p>
    <w:p>
      <w:r>
        <w:t>Equipment Manual EM-004. Quality Manual QM-001.</w:t>
      </w:r>
    </w:p>
    <w:p>
      <w:r>
        <w:drawing xmlns:a="http://schemas.openxmlformats.org/drawingml/2006/main">
          <wp:inline>
            <wp:extent cx="1828800" cy="1143000"/>
            <wp:docPr id="1" name="TextBox 1"/>
            <wp:cNvGraphicFramePr>
              <a:graphicFrameLocks noChangeAspect="1"/>
            </wp:cNvGraphicFramePr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28800" cy="1143000"/>
                    </a:xfrm>
                    <a:prstGeom prst="rect">
                      <a:avLst/>
                    </a:prstGeom>
                  </wps:spPr>
                  <wps:txbx>
                    <w:txbxContent>
                      <w:p>
                        <w:r>
                          <w:t xml:space="preserve">CAUTION: Verify calibration before each batch.</w:t>
                        </w:r>
                      </w:p>
                    </w:txbxContent>
                  </wps:txbx>
                  <wps:bodyPr/>
                </wps:wsp>
              </a:graphicData>
            </a:graphic>
          </wp:inline>
        </w:drawing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t xml:space="preserve">Refer to Equipment Manual EM-004 for calibration procedure.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Confidential - SOP-TC-001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Footnotes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