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1.0 Purpose</w:t>
      </w:r>
    </w:p>
    <w:p>
      <w:r>
        <w:t>This document defines the procedure for tablet compression.</w:t>
      </w:r>
    </w:p>
    <w:p>
      <w:pPr>
        <w:pStyle w:val="Heading1"/>
      </w:pPr>
      <w:r>
        <w:t>2.0 Applicability</w:t>
      </w:r>
    </w:p>
    <w:p>
      <w:r>
        <w:t>This SOP applies to all manufacturing personnel.</w:t>
      </w:r>
    </w:p>
    <w:p>
      <w:pPr>
        <w:pStyle w:val="Heading1"/>
      </w:pPr>
      <w:r>
        <w:t>3.1 Materials and Equipment</w:t>
      </w:r>
    </w:p>
    <w:p>
      <w:r>
        <w:t>Required materials include compression tooling and lubricant.</w:t>
      </w:r>
    </w:p>
    <w:p>
      <w:pPr>
        <w:pStyle w:val="Heading1"/>
      </w:pPr>
      <w:r>
        <w:t>4.0 Procedure</w:t>
      </w:r>
    </w:p>
    <w:p>
      <w:r>
        <w:t>Compression force shall be maintained at 15 kN.</w:t>
      </w:r>
      <w: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Actual</w:t>
            </w:r>
          </w:p>
        </w:tc>
      </w:tr>
      <w:tr>
        <w:tc>
          <w:tcPr>
            <w:tcW w:type="dxa" w:w="2880"/>
          </w:tcPr>
          <w:p>
            <w:r>
              <w:t>Compression Force</w:t>
            </w:r>
          </w:p>
        </w:tc>
        <w:tc>
          <w:tcPr>
            <w:tcW w:type="dxa" w:w="2880"/>
          </w:tcPr>
          <w:p>
            <w:r>
              <w:t>15 kN</w:t>
            </w:r>
          </w:p>
        </w:tc>
        <w:tc>
          <w:tcPr>
            <w:tcW w:type="dxa" w:w="2880"/>
          </w:tcPr>
          <w:p>
            <w:r>
              <w:t>15.1 kN</w:t>
            </w:r>
          </w:p>
        </w:tc>
      </w:tr>
      <w:tr>
        <w:tc>
          <w:tcPr>
            <w:tcW w:type="dxa" w:w="2880"/>
          </w:tcPr>
          <w:p>
            <w:r>
              <w:t>Tablet Weight</w:t>
            </w:r>
          </w:p>
        </w:tc>
        <w:tc>
          <w:tcPr>
            <w:tcW w:type="dxa" w:w="2880"/>
          </w:tcPr>
          <w:p>
            <w:r>
              <w:t>500 mg</w:t>
            </w:r>
          </w:p>
        </w:tc>
        <w:tc>
          <w:tcPr>
            <w:tcW w:type="dxa" w:w="2880"/>
          </w:tcPr>
          <w:p>
            <w:r>
              <w:t>498 mg</w:t>
            </w:r>
          </w:p>
        </w:tc>
      </w:tr>
      <w:tr>
        <w:tc>
          <w:tcPr>
            <w:tcW w:type="dxa" w:w="2880"/>
          </w:tcPr>
          <w:p>
            <w:r>
              <w:t>Hardness</w:t>
            </w:r>
          </w:p>
        </w:tc>
        <w:tc>
          <w:tcPr>
            <w:tcW w:type="dxa" w:w="2880"/>
          </w:tcPr>
          <w:p>
            <w:r>
              <w:t>8 kg</w:t>
            </w:r>
          </w:p>
        </w:tc>
        <w:tc>
          <w:tcPr>
            <w:tcW w:type="dxa" w:w="2880"/>
          </w:tcPr>
          <w:p>
            <w:r>
              <w:t>7.9 kg</w:t>
            </w:r>
          </w:p>
        </w:tc>
      </w:tr>
    </w:tbl>
    <w:p>
      <w:pPr>
        <w:pStyle w:val="Heading1"/>
      </w:pPr>
      <w:r>
        <w:t>6.0 Quality Control Release</w:t>
      </w:r>
    </w:p>
    <w:p>
      <w:r>
        <w:t>QC shall release the batch after reviewing all records.</w:t>
      </w:r>
    </w:p>
    <w:p>
      <w:pPr>
        <w:pStyle w:val="Heading1"/>
      </w:pPr>
      <w:r>
        <w:t>5.0 In-Process Controls</w:t>
      </w:r>
    </w:p>
    <w:p>
      <w:r>
        <w:t>Tablet weight and hardness shall be checked every 30 minutes.</w:t>
      </w:r>
    </w:p>
    <w:p>
      <w:pPr>
        <w:pStyle w:val="Heading1"/>
      </w:pPr>
      <w:r>
        <w:t>9.0 Training Log</w:t>
      </w:r>
    </w:p>
    <w:p>
      <w:r>
        <w:drawing xmlns:a="http://schemas.openxmlformats.org/drawingml/2006/main">
          <wp:inline>
            <wp:extent cx="1828800" cy="1143000"/>
            <wp:docPr id="1" name="TextBox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CAUTION: Verify calibration and record results before each batch.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sectPr>
          <w:headerReference w:type="default" r:id="rId9"/>
          <w:headerReference w:type="first" r:id="rId10"/>
          <w:headerReference w:type="even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Appendix A</w:t>
      </w:r>
    </w:p>
    <w:p>
      <w:r>
        <w:t>Appendix reference material.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Appendix Footer v2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Refer to Equipment Manual EM-004, Rev. 3, for calibration procedure.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SOP-TC-002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APPROVED - Internal Review Only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Controlled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