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1.0 Scope</w:t>
      </w:r>
    </w:p>
    <w:p>
      <w:r>
        <w:t>This procedure applies to all analytical testing performed in the QC laboratory.</w:t>
      </w:r>
    </w:p>
    <w:p>
      <w:r>
        <w:t>2.0 Approval</w:t>
      </w:r>
    </w:p>
    <w:p>
      <w:r>
        <w:t>The Quality Assurance Manager shall approve results prior to release.</w:t>
      </w:r>
    </w:p>
    <w:p>
      <w:r>
        <w:t>3.0 Acceptance Criteria</w:t>
      </w:r>
    </w:p>
    <w:p>
      <w:r>
        <w:t>Assay acceptance criterion: 98.0% to 102.0%.</w:t>
      </w:r>
    </w:p>
    <w:p>
      <w:r>
        <w:t>4.0 Storage Conditions</w:t>
      </w:r>
    </w:p>
    <w:p>
      <w:r>
        <w:t>Samples shall be stored at 25 degrees C, protected from light.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