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1.0 Scope</w:t>
      </w:r>
    </w:p>
    <w:p>
      <w:r>
        <w:t>This procedure applies to all analytical testing performed in the QC laboratory.</w:t>
      </w:r>
    </w:p>
    <w:p>
      <w:r>
        <w:t>2.0 Acceptance Criteria</w:t>
      </w:r>
    </w:p>
    <w:p>
      <w:r>
        <w:t>Results shall conform to the limits specified in the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</w:tr>
      <w:tr>
        <w:tc>
          <w:tcPr>
            <w:tcW w:type="dxa" w:w="2880"/>
          </w:tcPr>
          <w:p>
            <w:r>
              <w:t>Assay</w:t>
            </w:r>
          </w:p>
        </w:tc>
        <w:tc>
          <w:tcPr>
            <w:tcW w:type="dxa" w:w="2880"/>
          </w:tcPr>
          <w:p>
            <w:r>
              <w:t>95.0% to 105.0%</w:t>
            </w:r>
          </w:p>
        </w:tc>
        <w:tc>
          <w:tcPr>
            <w:tcW w:type="dxa" w:w="2880"/>
          </w:tcPr>
          <w:p>
            <w:r>
              <w:t>HPLC</w:t>
            </w:r>
          </w:p>
        </w:tc>
      </w:tr>
      <w:tr>
        <w:tc>
          <w:tcPr>
            <w:tcW w:type="dxa" w:w="2880"/>
          </w:tcPr>
          <w:p>
            <w:r>
              <w:t>Water Content</w:t>
            </w:r>
          </w:p>
        </w:tc>
        <w:tc>
          <w:tcPr>
            <w:tcW w:type="dxa" w:w="2880"/>
          </w:tcPr>
          <w:p>
            <w:r>
              <w:t>NMT 0.5%</w:t>
            </w:r>
          </w:p>
        </w:tc>
        <w:tc>
          <w:tcPr>
            <w:tcW w:type="dxa" w:w="2880"/>
          </w:tcPr>
          <w:p>
            <w:r>
              <w:t>Karl Fischer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Uncontrolled Copy -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- SOP-1234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DRAFT - For Review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