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RECORD RETENTION</w:t>
      </w:r>
    </w:p>
    <w:p>
      <w:r>
        <w:t>The Quality Control department shall retain all batch records for five years.</w:t>
      </w:r>
    </w:p>
    <w:p>
      <w:r>
        <w:t>SAMPLE HANDLING</w:t>
      </w:r>
    </w:p>
    <w:p>
      <w:r>
        <w:t>Samples must be completely mixed prior to analysis.</w:t>
      </w:r>
    </w:p>
    <w:p>
      <w:r>
        <w:t>APPROVAL RESPONSIBILITY</w:t>
      </w:r>
    </w:p>
    <w:p>
      <w:r>
        <w:t>The Quality Assurance Officer shall verify equipment cleanliness before use.</w:t>
      </w:r>
    </w:p>
    <w:p>
      <w:r>
        <w:t>REFERENCE DOCUMENT</w:t>
      </w:r>
    </w:p>
    <w:p>
      <w:r>
        <w:t>Follow the cleaning procedure described in the Equipment Sanitation SOP.</w:t>
      </w:r>
    </w:p>
    <w:p>
      <w:r>
        <w:t>PROCESS SEQUENCE</w:t>
      </w:r>
    </w:p>
    <w:p>
      <w:r>
        <w:t>Perform the system suitability test, then calibrate the instrument, and finally begin sample analysis.</w:t>
      </w:r>
    </w:p>
    <w:p>
      <w:r>
        <w:t>RESULT REPORTING</w:t>
      </w:r>
    </w:p>
    <w:p>
      <w:r>
        <w:t>Report results to two decimal places after review and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