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Purpose</w:t>
      </w:r>
    </w:p>
    <w:p>
      <w:r>
        <w:t>This procedure describes tablet compression and release testing.</w:t>
      </w:r>
    </w:p>
    <w:p>
      <w:r>
        <w:t>It applies to all commercial batches manufactured at Site B.</w:t>
      </w:r>
    </w:p>
    <w:p>
      <w:r>
        <w:t>This revision also covers electronic batch record entries for Site B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Storage Condition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Container</w:t>
            </w:r>
          </w:p>
        </w:tc>
      </w:tr>
      <w:tr>
        <w:tc>
          <w:tcPr>
            <w:tcW w:type="dxa" w:w="2880"/>
          </w:tcPr>
          <w:p>
            <w:r>
              <w:t>25 C / 60 percent RH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HDPE bottle</w:t>
            </w:r>
          </w:p>
        </w:tc>
      </w:tr>
      <w:tr>
        <w:tc>
          <w:tcPr>
            <w:tcW w:type="dxa" w:w="2880"/>
          </w:tcPr>
          <w:p>
            <w:r>
              <w:t>30 C / 75 percent RH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  <w:tc>
          <w:tcPr>
            <w:tcW w:type="dxa" w:w="2880"/>
          </w:tcPr>
          <w:p>
            <w:r>
              <w:t>Blister pack</w:t>
            </w:r>
          </w:p>
        </w:tc>
      </w:tr>
    </w:tbl>
    <w:p>
      <w:pPr>
        <w:pStyle w:val="Heading1"/>
      </w:pPr>
      <w:r>
        <w:t>2.0 Responsibilities</w:t>
      </w:r>
    </w:p>
    <w:p>
      <w:r>
        <w:t>The Production Supervisor is responsible for line clearance before each run.</w:t>
      </w:r>
    </w:p>
    <w:p>
      <w:r>
        <w:t>The Quality Assurance Manager is responsible for final batch disposition.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Production Supervisor</w:t>
            </w:r>
          </w:p>
        </w:tc>
        <w:tc>
          <w:tcPr>
            <w:tcW w:type="dxa" w:w="4320"/>
          </w:tcPr>
          <w:p>
            <w:r>
              <w:t>Line clearance before each run</w:t>
            </w:r>
          </w:p>
        </w:tc>
      </w:tr>
      <w:tr>
        <w:tc>
          <w:tcPr>
            <w:tcW w:type="dxa" w:w="4320"/>
          </w:tcPr>
          <w:p>
            <w:r>
              <w:t>Quality Assurance Manager</w:t>
            </w:r>
          </w:p>
        </w:tc>
        <w:tc>
          <w:tcPr>
            <w:tcW w:type="dxa" w:w="4320"/>
          </w:tcPr>
          <w:p>
            <w:r>
              <w:t>Final batch disposition</w:t>
            </w:r>
          </w:p>
        </w:tc>
      </w:tr>
    </w:tbl>
    <w:p>
      <w:pPr>
        <w:pStyle w:val="Heading1"/>
      </w:pPr>
      <w:r>
        <w:t>3.0 Applicability</w:t>
      </w:r>
    </w:p>
    <w:p>
      <w:r>
        <w:t>Covers in-process control, finished product testing, and release.</w:t>
      </w:r>
    </w:p>
    <w:p>
      <w:r>
        <w:t>Excludes stability testing, which is covered by SOP-QA-118.</w:t>
      </w:r>
    </w:p>
    <w:p>
      <w:pPr>
        <w:pStyle w:val="Heading1"/>
      </w:pPr>
      <w:r>
        <w:t>4.0 Equipment</w:t>
      </w:r>
    </w:p>
    <w:p>
      <w:r>
        <w:t>Compression is performed on the rotary press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Capacity</w:t>
            </w:r>
          </w:p>
        </w:tc>
      </w:tr>
      <w:tr>
        <w:tc>
          <w:tcPr>
            <w:tcW w:type="dxa" w:w="2880"/>
          </w:tcPr>
          <w:p>
            <w:r>
              <w:t>Rotary Tablet Press</w:t>
            </w:r>
          </w:p>
        </w:tc>
        <w:tc>
          <w:tcPr>
            <w:tcW w:type="dxa" w:w="2880"/>
          </w:tcPr>
          <w:p>
            <w:r>
              <w:t>Fette 3090</w:t>
            </w:r>
          </w:p>
        </w:tc>
        <w:tc>
          <w:tcPr>
            <w:tcW w:type="dxa" w:w="2880"/>
          </w:tcPr>
          <w:p>
            <w:r>
              <w:t>100,000 tablets/hour</w:t>
            </w:r>
          </w:p>
        </w:tc>
      </w:tr>
      <w:tr>
        <w:tc>
          <w:tcPr>
            <w:tcW w:type="dxa" w:w="2880"/>
          </w:tcPr>
          <w:p>
            <w:r>
              <w:t>Coating Pan</w:t>
            </w:r>
          </w:p>
        </w:tc>
        <w:tc>
          <w:tcPr>
            <w:tcW w:type="dxa" w:w="2880"/>
          </w:tcPr>
          <w:p>
            <w:r>
              <w:t>O'Hara Labcoat 24</w:t>
            </w:r>
          </w:p>
        </w:tc>
        <w:tc>
          <w:tcPr>
            <w:tcW w:type="dxa" w:w="2880"/>
          </w:tcPr>
          <w:p>
            <w:r>
              <w:t>25 kg batch</w:t>
            </w:r>
          </w:p>
        </w:tc>
      </w:tr>
    </w:tbl>
    <w:p>
      <w:pPr>
        <w:pStyle w:val="Heading1"/>
      </w:pPr>
      <w:r>
        <w:t>5.0 Sampling</w:t>
      </w:r>
    </w:p>
    <w:p>
      <w:r>
        <w:t>Samples are drawn at the start, middle, and end of each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Sampling Point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Start of run</w:t>
            </w:r>
          </w:p>
        </w:tc>
        <w:tc>
          <w:tcPr>
            <w:tcW w:type="dxa" w:w="2880"/>
          </w:tcPr>
          <w:p>
            <w:r>
              <w:t>10 tablets</w:t>
            </w:r>
          </w:p>
        </w:tc>
        <w:tc>
          <w:tcPr>
            <w:tcW w:type="dxa" w:w="2880"/>
          </w:tcPr>
          <w:p>
            <w:r>
              <w:t>Once per batch</w:t>
            </w:r>
          </w:p>
        </w:tc>
      </w:tr>
      <w:tr>
        <w:tc>
          <w:tcPr>
            <w:tcW w:type="dxa" w:w="2880"/>
          </w:tcPr>
          <w:p>
            <w:r>
              <w:t>End of run</w:t>
            </w:r>
          </w:p>
        </w:tc>
        <w:tc>
          <w:tcPr>
            <w:tcW w:type="dxa" w:w="2880"/>
          </w:tcPr>
          <w:p>
            <w:r>
              <w:t>10 tablets</w:t>
            </w:r>
          </w:p>
        </w:tc>
        <w:tc>
          <w:tcPr>
            <w:tcW w:type="dxa" w:w="2880"/>
          </w:tcPr>
          <w:p>
            <w:r>
              <w:t>Once per batch</w:t>
            </w:r>
          </w:p>
        </w:tc>
      </w:tr>
    </w:tbl>
    <w:p>
      <w:pPr>
        <w:pStyle w:val="Heading1"/>
      </w:pPr>
      <w:r>
        <w:t>7.0 Acceptance Criteria</w:t>
      </w:r>
    </w:p>
    <w:p>
      <w:r>
        <w:t>Assay shall be 98.0 percent to 102.0 percent of label claim.</w:t>
      </w:r>
    </w:p>
    <w:p>
      <w:r>
        <w:t>A retained sample of 30 tablets is held for each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95.0% to 105.0% of label claim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Content Uniformity</w:t>
            </w:r>
          </w:p>
        </w:tc>
        <w:tc>
          <w:tcPr>
            <w:tcW w:type="dxa" w:w="2880"/>
          </w:tcPr>
          <w:p>
            <w:r>
              <w:t>AV less than or equal to 15</w:t>
            </w:r>
          </w:p>
        </w:tc>
        <w:tc>
          <w:tcPr>
            <w:tcW w:type="dxa" w:w="2880"/>
          </w:tcPr>
          <w:p>
            <w:r>
              <w:t>USP &lt;905&gt;</w:t>
            </w:r>
          </w:p>
        </w:tc>
      </w:tr>
      <w:tr>
        <w:tc>
          <w:tcPr>
            <w:tcW w:type="dxa" w:w="2880"/>
          </w:tcPr>
          <w:p>
            <w:r>
              <w:t>Dissolution</w:t>
            </w:r>
          </w:p>
        </w:tc>
        <w:tc>
          <w:tcPr>
            <w:tcW w:type="dxa" w:w="2880"/>
          </w:tcPr>
          <w:p>
            <w:r>
              <w:t>Not less than 80% in 30 minutes</w:t>
            </w:r>
          </w:p>
        </w:tc>
        <w:tc>
          <w:tcPr>
            <w:tcW w:type="dxa" w:w="2880"/>
          </w:tcPr>
          <w:p>
            <w:r>
              <w:t>USP &lt;711&gt;</w:t>
            </w:r>
          </w:p>
        </w:tc>
      </w:tr>
    </w:tbl>
    <w:p>
      <w:pPr>
        <w:pStyle w:val="Heading1"/>
      </w:pPr>
      <w:r>
        <w:t>8.0 Deviations</w:t>
      </w:r>
    </w:p>
    <w:p>
      <w:r>
        <w:t>Deviations are recorded in the quality management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Deviation Type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Reported By</w:t>
            </w:r>
          </w:p>
        </w:tc>
      </w:tr>
      <w:tr>
        <w:tc>
          <w:tcPr>
            <w:tcW w:type="dxa" w:w="2880"/>
          </w:tcPr>
          <w:p>
            <w:r>
              <w:t>Equipment malfunction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Line Supervisor</w:t>
            </w:r>
          </w:p>
        </w:tc>
      </w:tr>
      <w:tr>
        <w:tc>
          <w:tcPr>
            <w:tcW w:type="dxa" w:w="2880"/>
          </w:tcPr>
          <w:p>
            <w:r>
              <w:t>Documentation error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QA Associate</w:t>
            </w:r>
          </w:p>
        </w:tc>
      </w:tr>
    </w:tbl>
    <w:p>
      <w:pPr>
        <w:pStyle w:val="Heading1"/>
      </w:pPr>
      <w:r>
        <w:t>9.0 Training</w:t>
      </w:r>
    </w:p>
    <w:p>
      <w:r>
        <w:t>Operators are trained before independent operation.</w:t>
      </w:r>
      <w:r>
        <w:drawing xmlns:a="http://schemas.openxmlformats.org/drawingml/2006/main">
          <wp:inline distT="0" distB="0" distL="0" distR="0">
            <wp:extent cx="2743200" cy="685800"/>
            <wp:docPr id="2" name="Text Box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Training records are held by the QA department.</w:t>
                        </w:r>
                      </w:p>
                    </w:txbxContent>
                  </wps:txbx>
                  <wps:bodyPr rot="0" vert="horz" wrap="square" anchor="t"/>
                </wps:wsp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Frequency</w:t>
            </w:r>
          </w:p>
        </w:tc>
      </w:tr>
      <w:tr>
        <w:tc>
          <w:tcPr>
            <w:tcW w:type="dxa" w:w="4320"/>
          </w:tcPr>
          <w:p>
            <w:r>
              <w:t>GMP Basics</w:t>
            </w:r>
          </w:p>
        </w:tc>
        <w:tc>
          <w:tcPr>
            <w:tcW w:type="dxa" w:w="4320"/>
          </w:tcPr>
          <w:p>
            <w:r>
              <w:t>Annual</w:t>
            </w:r>
          </w:p>
        </w:tc>
      </w:tr>
      <w:tr>
        <w:tc>
          <w:tcPr>
            <w:tcW w:type="dxa" w:w="4320"/>
          </w:tcPr>
          <w:p>
            <w:r>
              <w:t>Equipment Operation</w:t>
            </w:r>
          </w:p>
        </w:tc>
        <w:tc>
          <w:tcPr>
            <w:tcW w:type="dxa" w:w="4320"/>
          </w:tcPr>
          <w:p>
            <w:r>
              <w:t>Biennial</w:t>
            </w:r>
          </w:p>
        </w:tc>
      </w:tr>
    </w:tbl>
    <w:p>
      <w:pPr>
        <w:pStyle w:val="Heading1"/>
      </w:pPr>
      <w:r>
        <w:t>10.0 Procedure</w:t>
      </w:r>
    </w:p>
    <w:p>
      <w:r>
        <w:t>Compression force shall be maintained at 20 kN plus or minus 2 kN.</w:t>
      </w:r>
      <w:r>
        <w:drawing xmlns:a="http://schemas.openxmlformats.org/drawingml/2006/main">
          <wp:inline distT="0" distB="0" distL="0" distR="0">
            <wp:extent cx="2743200" cy="685800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CAUTION: verify press calibration before each batch.</w:t>
                        </w:r>
                      </w:p>
                    </w:txbxContent>
                  </wps:txbx>
                  <wps:bodyPr rot="0" vert="horz" wrap="square" anchor="t"/>
                </wps:wsp>
              </a:graphicData>
            </a:graphic>
          </wp:inline>
        </w:drawing>
      </w:r>
      <w:r>
        <w:footnoteReference w:id="1"/>
      </w:r>
    </w:p>
    <w:p>
      <w:r>
        <w:t>Record the force reading every 30 minutes during the run.</w:t>
      </w:r>
    </w:p>
    <w:p>
      <w:pPr>
        <w:pStyle w:val="Heading1"/>
      </w:pPr>
      <w:r>
        <w:t>11.0 Records</w:t>
      </w:r>
    </w:p>
    <w:p>
      <w:r>
        <w:t>Batch records are retained for ten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Type</w:t>
            </w:r>
          </w:p>
        </w:tc>
        <w:tc>
          <w:tcPr>
            <w:tcW w:type="dxa" w:w="2880"/>
          </w:tcPr>
          <w:p>
            <w:r>
              <w:t>Storage Location</w:t>
            </w:r>
          </w:p>
        </w:tc>
        <w:tc>
          <w:tcPr>
            <w:tcW w:type="dxa" w:w="2880"/>
          </w:tcPr>
          <w:p>
            <w:r>
              <w:t>Retention Period</w:t>
            </w:r>
          </w:p>
        </w:tc>
      </w:tr>
      <w:tr>
        <w:tc>
          <w:tcPr>
            <w:tcW w:type="dxa" w:w="2880"/>
          </w:tcPr>
          <w:p>
            <w:r>
              <w:t>Batch Record</w:t>
            </w:r>
          </w:p>
        </w:tc>
        <w:tc>
          <w:tcPr>
            <w:tcW w:type="dxa" w:w="2880"/>
          </w:tcPr>
          <w:p>
            <w:r>
              <w:t>Archive Room A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</w:tr>
      <w:tr>
        <w:tc>
          <w:tcPr>
            <w:tcW w:type="dxa" w:w="2880"/>
          </w:tcPr>
          <w:p>
            <w:r>
              <w:t>Equipment Log</w:t>
            </w:r>
          </w:p>
        </w:tc>
        <w:tc>
          <w:tcPr>
            <w:tcW w:type="dxa" w:w="2880"/>
          </w:tcPr>
          <w:p>
            <w:r>
              <w:t>Archive Room B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</w:tbl>
    <w:p>
      <w:pPr>
        <w:pStyle w:val="Heading1"/>
      </w:pPr>
      <w:r>
        <w:t>11.0 Approval</w:t>
      </w:r>
    </w:p>
    <w:p>
      <w:r>
        <w:t>This procedure is approved by the QC Manager.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Approved By</w:t>
            </w:r>
          </w:p>
          <w:p>
            <w:r>
              <w:t>Reviewed By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QC Manager</w:t>
            </w:r>
          </w:p>
        </w:tc>
        <w:tc>
          <w:tcPr>
            <w:tcW w:type="dxa" w:w="2880"/>
          </w:tcPr>
          <w:p>
            <w:r>
              <w:t>Production Manager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</w:tr>
    </w:tbl>
    <w:p>
      <w:pPr>
        <w:pStyle w:val="Heading1"/>
      </w:pPr>
      <w:r>
        <w:t>12.0 References</w:t>
      </w:r>
    </w:p>
    <w:p>
      <w:r>
        <w:t>Refer to the equipment manual, effective 15 Mar 2024, for calibration at a tolerance of 2°C.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</w:tr>
      <w:tr>
        <w:tc>
          <w:tcPr>
            <w:tcW w:type="dxa" w:w="2880"/>
          </w:tcPr>
          <w:p>
            <w:r>
              <w:t>Equipment Manual</w:t>
            </w:r>
          </w:p>
        </w:tc>
        <w:tc>
          <w:tcPr>
            <w:tcW w:type="dxa" w:w="2880"/>
          </w:tcPr>
          <w:p>
            <w:r>
              <w:t>EQ-MAN-01</w:t>
            </w:r>
          </w:p>
        </w:tc>
        <w:tc>
          <w:tcPr>
            <w:tcW w:type="dxa" w:w="2880"/>
          </w:tcPr>
          <w:p>
            <w:r>
              <w:t>Rev 4, dated 15 Mar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Refer to Equipment Manual EM-004, Rev 3, for calibration procedure.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