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val="0"/>
          <w:i/>
          <w:sz w:val="20"/>
        </w:rPr>
        <w:t>TÀI LIỆU MẪU CHO BUỔI CHIA SẺ – MỌI CÔNG TY, CON NGƯỜI, SỐ LIỆU ĐỀU HƯ CẤU</w:t>
      </w:r>
    </w:p>
    <w:p>
      <w:pPr>
        <w:spacing w:after="0"/>
        <w:jc w:val="center"/>
      </w:pPr>
      <w:r>
        <w:rPr>
          <w:b/>
          <w:i w:val="0"/>
          <w:sz w:val="24"/>
        </w:rPr>
        <w:t>CÔNG TY CP PHÂN PHỐI THIẾT BỊ VĂN PHÒNG SAO MAI</w:t>
      </w:r>
    </w:p>
    <w:p>
      <w:pPr>
        <w:spacing w:after="160"/>
        <w:jc w:val="center"/>
      </w:pPr>
      <w:r>
        <w:rPr>
          <w:b/>
          <w:i w:val="0"/>
          <w:sz w:val="24"/>
        </w:rPr>
        <w:t>PHÒNG KINH DOANH – CHI NHÁNH HÀ NỘI</w:t>
      </w:r>
    </w:p>
    <w:p>
      <w:pPr>
        <w:spacing w:after="200"/>
        <w:jc w:val="center"/>
      </w:pPr>
      <w:r>
        <w:rPr>
          <w:b/>
          <w:i w:val="0"/>
          <w:sz w:val="30"/>
        </w:rPr>
        <w:t>BÁO CÁO TUẦN 38 (14/9 – 20/9/2026)</w:t>
      </w:r>
    </w:p>
    <w:p>
      <w:r>
        <w:rPr>
          <w:b w:val="0"/>
          <w:i/>
        </w:rPr>
        <w:t>Người lập: Trần Thu Hà – Trưởng nhóm Kinh doanh  ·  Gửi: Giám đốc Chi nhánh</w:t>
      </w:r>
    </w:p>
    <w:p>
      <w:pPr>
        <w:spacing w:before="160"/>
      </w:pPr>
      <w:r>
        <w:rPr>
          <w:b/>
          <w:i w:val="0"/>
        </w:rPr>
        <w:t>1. Tóm tắt tuần</w:t>
      </w:r>
    </w:p>
    <w:p>
      <w:pPr>
        <w:jc w:val="both"/>
      </w:pPr>
      <w:r>
        <w:rPr>
          <w:b w:val="0"/>
          <w:i w:val="0"/>
        </w:rPr>
        <w:t>Doanh số tuần đạt 1.188 triệu đồng, bằng 95,0% kế hoạch, chủ yếu do đơn hàng của Công ty Hưng Thịnh (khoảng 70 triệu đồng) bị lùi sang tuần sau vì khách điều chỉnh số lượng. Số khách hàng mới vượt kế hoạch (6/5), trong đó có 2 trường học tư thục. Thu hồi công nợ còn chậm, cần Giám đốc lưu ý khoản nợ của Công ty Phúc Lộc.</w:t>
      </w:r>
    </w:p>
    <w:p>
      <w:pPr>
        <w:spacing w:before="160"/>
      </w:pPr>
      <w:r>
        <w:rPr>
          <w:b/>
          <w:i w:val="0"/>
        </w:rPr>
        <w:t>2. Kết quả chính</w:t>
      </w:r>
    </w:p>
    <w:tbl>
      <w:tblPr>
        <w:tblStyle w:val="TableGrid"/>
        <w:tblW w:type="auto" w:w="0"/>
        <w:tblLook w:firstColumn="1" w:firstRow="1" w:lastColumn="0" w:lastRow="0" w:noHBand="0" w:noVBand="1" w:val="04A0"/>
      </w:tblPr>
      <w:tblGrid>
        <w:gridCol w:w="2351"/>
        <w:gridCol w:w="2351"/>
        <w:gridCol w:w="2351"/>
        <w:gridCol w:w="2351"/>
      </w:tblGrid>
      <w:tr>
        <w:tc>
          <w:tcPr>
            <w:tcW w:type="dxa" w:w="3402"/>
          </w:tcPr>
          <w:p>
            <w:r/>
            <w:r>
              <w:rPr>
                <w:b/>
                <w:sz w:val="22"/>
              </w:rPr>
              <w:t>Chỉ tiêu</w:t>
            </w:r>
          </w:p>
        </w:tc>
        <w:tc>
          <w:tcPr>
            <w:tcW w:type="dxa" w:w="1984"/>
          </w:tcPr>
          <w:p>
            <w:r/>
            <w:r>
              <w:rPr>
                <w:b/>
                <w:sz w:val="22"/>
              </w:rPr>
              <w:t>Kế hoạch tuần</w:t>
            </w:r>
          </w:p>
        </w:tc>
        <w:tc>
          <w:tcPr>
            <w:tcW w:type="dxa" w:w="1984"/>
          </w:tcPr>
          <w:p>
            <w:r/>
            <w:r>
              <w:rPr>
                <w:b/>
                <w:sz w:val="22"/>
              </w:rPr>
              <w:t>Thực hiện</w:t>
            </w:r>
          </w:p>
        </w:tc>
        <w:tc>
          <w:tcPr>
            <w:tcW w:type="dxa" w:w="1417"/>
          </w:tcPr>
          <w:p>
            <w:r/>
            <w:r>
              <w:rPr>
                <w:b/>
                <w:sz w:val="22"/>
              </w:rPr>
              <w:t>% KH</w:t>
            </w:r>
          </w:p>
        </w:tc>
      </w:tr>
      <w:tr>
        <w:tc>
          <w:tcPr>
            <w:tcW w:type="dxa" w:w="3402"/>
          </w:tcPr>
          <w:p>
            <w:r/>
            <w:r>
              <w:rPr>
                <w:sz w:val="22"/>
              </w:rPr>
              <w:t>Doanh số (triệu đồng)</w:t>
            </w:r>
          </w:p>
        </w:tc>
        <w:tc>
          <w:tcPr>
            <w:tcW w:type="dxa" w:w="1984"/>
          </w:tcPr>
          <w:p>
            <w:r/>
            <w:r>
              <w:rPr>
                <w:sz w:val="22"/>
              </w:rPr>
              <w:t>1.250</w:t>
            </w:r>
          </w:p>
        </w:tc>
        <w:tc>
          <w:tcPr>
            <w:tcW w:type="dxa" w:w="1984"/>
          </w:tcPr>
          <w:p>
            <w:r/>
            <w:r>
              <w:rPr>
                <w:sz w:val="22"/>
              </w:rPr>
              <w:t>1.188</w:t>
            </w:r>
          </w:p>
        </w:tc>
        <w:tc>
          <w:tcPr>
            <w:tcW w:type="dxa" w:w="1417"/>
          </w:tcPr>
          <w:p>
            <w:r/>
            <w:r>
              <w:rPr>
                <w:sz w:val="22"/>
              </w:rPr>
              <w:t>95,0%</w:t>
            </w:r>
          </w:p>
        </w:tc>
      </w:tr>
      <w:tr>
        <w:tc>
          <w:tcPr>
            <w:tcW w:type="dxa" w:w="3402"/>
          </w:tcPr>
          <w:p>
            <w:r/>
            <w:r>
              <w:rPr>
                <w:sz w:val="22"/>
              </w:rPr>
              <w:t>Số đơn hàng</w:t>
            </w:r>
          </w:p>
        </w:tc>
        <w:tc>
          <w:tcPr>
            <w:tcW w:type="dxa" w:w="1984"/>
          </w:tcPr>
          <w:p>
            <w:r/>
            <w:r>
              <w:rPr>
                <w:sz w:val="22"/>
              </w:rPr>
              <w:t>42</w:t>
            </w:r>
          </w:p>
        </w:tc>
        <w:tc>
          <w:tcPr>
            <w:tcW w:type="dxa" w:w="1984"/>
          </w:tcPr>
          <w:p>
            <w:r/>
            <w:r>
              <w:rPr>
                <w:sz w:val="22"/>
              </w:rPr>
              <w:t>39</w:t>
            </w:r>
          </w:p>
        </w:tc>
        <w:tc>
          <w:tcPr>
            <w:tcW w:type="dxa" w:w="1417"/>
          </w:tcPr>
          <w:p>
            <w:r/>
            <w:r>
              <w:rPr>
                <w:sz w:val="22"/>
              </w:rPr>
              <w:t>92,9%</w:t>
            </w:r>
          </w:p>
        </w:tc>
      </w:tr>
      <w:tr>
        <w:tc>
          <w:tcPr>
            <w:tcW w:type="dxa" w:w="3402"/>
          </w:tcPr>
          <w:p>
            <w:r/>
            <w:r>
              <w:rPr>
                <w:sz w:val="22"/>
              </w:rPr>
              <w:t>Khách hàng mới</w:t>
            </w:r>
          </w:p>
        </w:tc>
        <w:tc>
          <w:tcPr>
            <w:tcW w:type="dxa" w:w="1984"/>
          </w:tcPr>
          <w:p>
            <w:r/>
            <w:r>
              <w:rPr>
                <w:sz w:val="22"/>
              </w:rPr>
              <w:t>5</w:t>
            </w:r>
          </w:p>
        </w:tc>
        <w:tc>
          <w:tcPr>
            <w:tcW w:type="dxa" w:w="1984"/>
          </w:tcPr>
          <w:p>
            <w:r/>
            <w:r>
              <w:rPr>
                <w:sz w:val="22"/>
              </w:rPr>
              <w:t>6</w:t>
            </w:r>
          </w:p>
        </w:tc>
        <w:tc>
          <w:tcPr>
            <w:tcW w:type="dxa" w:w="1417"/>
          </w:tcPr>
          <w:p>
            <w:r/>
            <w:r>
              <w:rPr>
                <w:sz w:val="22"/>
              </w:rPr>
              <w:t>120,0%</w:t>
            </w:r>
          </w:p>
        </w:tc>
      </w:tr>
      <w:tr>
        <w:tc>
          <w:tcPr>
            <w:tcW w:type="dxa" w:w="3402"/>
          </w:tcPr>
          <w:p>
            <w:r/>
            <w:r>
              <w:rPr>
                <w:sz w:val="22"/>
              </w:rPr>
              <w:t>Thu hồi công nợ (triệu đồng)</w:t>
            </w:r>
          </w:p>
        </w:tc>
        <w:tc>
          <w:tcPr>
            <w:tcW w:type="dxa" w:w="1984"/>
          </w:tcPr>
          <w:p>
            <w:r/>
            <w:r>
              <w:rPr>
                <w:sz w:val="22"/>
              </w:rPr>
              <w:t>900</w:t>
            </w:r>
          </w:p>
        </w:tc>
        <w:tc>
          <w:tcPr>
            <w:tcW w:type="dxa" w:w="1984"/>
          </w:tcPr>
          <w:p>
            <w:r/>
            <w:r>
              <w:rPr>
                <w:sz w:val="22"/>
              </w:rPr>
              <w:t>812</w:t>
            </w:r>
          </w:p>
        </w:tc>
        <w:tc>
          <w:tcPr>
            <w:tcW w:type="dxa" w:w="1417"/>
          </w:tcPr>
          <w:p>
            <w:r/>
            <w:r>
              <w:rPr>
                <w:sz w:val="22"/>
              </w:rPr>
              <w:t>90,2%</w:t>
            </w:r>
          </w:p>
        </w:tc>
      </w:tr>
    </w:tbl>
    <w:p/>
    <w:p>
      <w:pPr>
        <w:spacing w:before="160"/>
      </w:pPr>
      <w:r>
        <w:rPr>
          <w:b/>
          <w:i w:val="0"/>
        </w:rPr>
        <w:t>3. Việc trễ hạn</w:t>
      </w:r>
    </w:p>
    <w:p>
      <w:pPr>
        <w:jc w:val="both"/>
      </w:pPr>
      <w:r>
        <w:rPr>
          <w:b w:val="0"/>
          <w:i w:val="0"/>
        </w:rPr>
        <w:t>– Báo giá dự án trang bị văn phòng toà nhà Minh Quang – Lê Minh Quân – hạn 18/9 – khách đổi thông số bàn họp – hạn mới 25/9.</w:t>
      </w:r>
    </w:p>
    <w:p>
      <w:pPr>
        <w:spacing w:before="160"/>
      </w:pPr>
      <w:r>
        <w:rPr>
          <w:b/>
          <w:i w:val="0"/>
        </w:rPr>
        <w:t>4. Rủi ro &amp; đề xuất</w:t>
      </w:r>
    </w:p>
    <w:p>
      <w:pPr>
        <w:jc w:val="both"/>
      </w:pPr>
      <w:r>
        <w:rPr>
          <w:b w:val="0"/>
          <w:i w:val="0"/>
        </w:rPr>
        <w:t>– Công ty Phúc Lộc nợ 180 triệu đồng, đã quá hạn 26 ngày. Đề xuất: Trưởng nhóm gọi điện trực tiếp và tạm dừng giao đơn mới nếu chưa có lịch trả nợ.</w:t>
      </w:r>
    </w:p>
    <w:p>
      <w:pPr>
        <w:jc w:val="both"/>
      </w:pPr>
      <w:r>
        <w:rPr>
          <w:b w:val="0"/>
          <w:i w:val="0"/>
        </w:rPr>
        <w:t>– Đối thủ giảm giá giấy A4 khoảng 3% tại khu vực Cầu Giấy. Đề xuất: theo dõi thêm 1 tuần trước khi điều chỉnh giá.</w:t>
      </w:r>
    </w:p>
    <w:p>
      <w:pPr>
        <w:spacing w:before="160"/>
      </w:pPr>
      <w:r>
        <w:rPr>
          <w:b/>
          <w:i w:val="0"/>
        </w:rPr>
        <w:t>5. Kế hoạch tuần tới</w:t>
      </w:r>
    </w:p>
    <w:p>
      <w:pPr>
        <w:jc w:val="both"/>
      </w:pPr>
      <w:r>
        <w:rPr>
          <w:b w:val="0"/>
          <w:i w:val="0"/>
        </w:rPr>
        <w:t>– Chốt đơn Công ty Hưng Thịnh.</w:t>
      </w:r>
    </w:p>
    <w:p>
      <w:pPr>
        <w:jc w:val="both"/>
      </w:pPr>
      <w:r>
        <w:rPr>
          <w:b w:val="0"/>
          <w:i w:val="0"/>
        </w:rPr>
        <w:t>– Gửi lại báo giá toà nhà Minh Quang trước 25/9.</w:t>
      </w:r>
    </w:p>
    <w:p>
      <w:pPr>
        <w:jc w:val="both"/>
      </w:pPr>
      <w:r>
        <w:rPr>
          <w:b w:val="0"/>
          <w:i w:val="0"/>
        </w:rPr>
        <w:t>– Làm việc với Phúc Lộc về lịch trả nợ.</w:t>
      </w:r>
    </w:p>
    <w:p>
      <w:pPr>
        <w:jc w:val="both"/>
      </w:pPr>
      <w:r>
        <w:rPr>
          <w:b w:val="0"/>
          <w:i w:val="0"/>
        </w:rPr>
        <w:t>– Chăm sóc 2 trường học mới.</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