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 w:val="0"/>
          <w:i/>
          <w:sz w:val="20"/>
        </w:rPr>
        <w:t>TÀI LIỆU MẪU CHO BUỔI CHIA SẺ – MỌI CÔNG TY, CON NGƯỜI, SỐ LIỆU ĐỀU HƯ CẤU</w:t>
      </w:r>
    </w:p>
    <w:p>
      <w:pPr>
        <w:spacing w:after="0"/>
        <w:jc w:val="center"/>
      </w:pPr>
      <w:r>
        <w:rPr>
          <w:b/>
          <w:i w:val="0"/>
          <w:sz w:val="24"/>
        </w:rPr>
        <w:t>CÔNG TY CP PHÂN PHỐI THIẾT BỊ VĂN PHÒNG SAO MAI</w:t>
      </w:r>
    </w:p>
    <w:p>
      <w:pPr>
        <w:spacing w:after="160"/>
        <w:jc w:val="center"/>
      </w:pPr>
      <w:r>
        <w:rPr>
          <w:b/>
          <w:i w:val="0"/>
          <w:sz w:val="24"/>
        </w:rPr>
        <w:t>PHÒNG KINH DOANH – CHI NHÁNH HÀ NỘI</w:t>
      </w:r>
    </w:p>
    <w:p>
      <w:pPr>
        <w:spacing w:after="200"/>
        <w:jc w:val="center"/>
      </w:pPr>
      <w:r>
        <w:rPr>
          <w:b/>
          <w:i w:val="0"/>
          <w:sz w:val="30"/>
        </w:rPr>
        <w:t>BÁO CÁO TUẦN 39 (21/9 – 27/9/2026)</w:t>
      </w:r>
    </w:p>
    <w:p>
      <w:r>
        <w:rPr>
          <w:b w:val="0"/>
          <w:i/>
        </w:rPr>
        <w:t>Người lập: Trần Thu Hà – Trưởng nhóm Kinh doanh  ·  Gửi: Giám đốc Chi nhánh</w:t>
      </w:r>
    </w:p>
    <w:p>
      <w:pPr>
        <w:spacing w:before="160"/>
      </w:pPr>
      <w:r>
        <w:rPr>
          <w:b/>
          <w:i w:val="0"/>
        </w:rPr>
        <w:t>1. Tóm tắt tuần</w:t>
      </w:r>
    </w:p>
    <w:p>
      <w:pPr>
        <w:jc w:val="both"/>
      </w:pPr>
      <w:r>
        <w:rPr>
          <w:b w:val="0"/>
          <w:i w:val="0"/>
        </w:rPr>
        <w:t>Doanh số tuần đạt 1.342 triệu đồng, bằng 107,4% kế hoạch, nhờ chốt được đơn Công ty Hưng Thịnh và đơn bổ sung của 2 trường học. Thu hồi công nợ vượt kế hoạch (955/900 triệu đồng) nhưng Phúc Lộc mới trả được 60 triệu đồng. Báo giá toà nhà Minh Quang đã gửi đúng hạn mới.</w:t>
      </w:r>
    </w:p>
    <w:p>
      <w:pPr>
        <w:spacing w:before="160"/>
      </w:pPr>
      <w:r>
        <w:rPr>
          <w:b/>
          <w:i w:val="0"/>
        </w:rPr>
        <w:t>2. Kết quả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</w:tcPr>
          <w:p>
            <w:r/>
            <w:r>
              <w:rPr>
                <w:b/>
                <w:sz w:val="22"/>
              </w:rPr>
              <w:t>Chỉ tiêu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2"/>
              </w:rPr>
              <w:t>Kế hoạch tuần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2"/>
              </w:rPr>
              <w:t>Thực hiện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2"/>
              </w:rPr>
              <w:t>% KH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Doanh số (triệu đồng)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1.250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1.342</w:t>
            </w:r>
          </w:p>
        </w:tc>
        <w:tc>
          <w:tcPr>
            <w:tcW w:type="dxa" w:w="1417"/>
          </w:tcPr>
          <w:p>
            <w:r/>
            <w:r>
              <w:rPr>
                <w:sz w:val="22"/>
              </w:rPr>
              <w:t>107,4%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Số đơn hàng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42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47</w:t>
            </w:r>
          </w:p>
        </w:tc>
        <w:tc>
          <w:tcPr>
            <w:tcW w:type="dxa" w:w="1417"/>
          </w:tcPr>
          <w:p>
            <w:r/>
            <w:r>
              <w:rPr>
                <w:sz w:val="22"/>
              </w:rPr>
              <w:t>111,9%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Khách hàng mới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sz w:val="22"/>
              </w:rPr>
              <w:t>80,0%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2"/>
              </w:rPr>
              <w:t>Thu hồi công nợ (triệu đồng)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900</w:t>
            </w:r>
          </w:p>
        </w:tc>
        <w:tc>
          <w:tcPr>
            <w:tcW w:type="dxa" w:w="1984"/>
          </w:tcPr>
          <w:p>
            <w:r/>
            <w:r>
              <w:rPr>
                <w:sz w:val="22"/>
              </w:rPr>
              <w:t>955</w:t>
            </w:r>
          </w:p>
        </w:tc>
        <w:tc>
          <w:tcPr>
            <w:tcW w:type="dxa" w:w="1417"/>
          </w:tcPr>
          <w:p>
            <w:r/>
            <w:r>
              <w:rPr>
                <w:sz w:val="22"/>
              </w:rPr>
              <w:t>106,1%</w:t>
            </w:r>
          </w:p>
        </w:tc>
      </w:tr>
    </w:tbl>
    <w:p/>
    <w:p>
      <w:pPr>
        <w:spacing w:before="160"/>
      </w:pPr>
      <w:r>
        <w:rPr>
          <w:b/>
          <w:i w:val="0"/>
        </w:rPr>
        <w:t>3. Việc trễ hạn</w:t>
      </w:r>
    </w:p>
    <w:p>
      <w:pPr>
        <w:jc w:val="both"/>
      </w:pPr>
      <w:r>
        <w:rPr>
          <w:b w:val="0"/>
          <w:i w:val="0"/>
        </w:rPr>
        <w:t>– Không có việc trễ hạn trong tuần.</w:t>
      </w:r>
    </w:p>
    <w:p>
      <w:pPr>
        <w:spacing w:before="160"/>
      </w:pPr>
      <w:r>
        <w:rPr>
          <w:b/>
          <w:i w:val="0"/>
        </w:rPr>
        <w:t>4. Rủi ro &amp; đề xuất</w:t>
      </w:r>
    </w:p>
    <w:p>
      <w:pPr>
        <w:jc w:val="both"/>
      </w:pPr>
      <w:r>
        <w:rPr>
          <w:b w:val="0"/>
          <w:i w:val="0"/>
        </w:rPr>
        <w:t>– Công ty Phúc Lộc còn nợ 120 triệu đồng, quá hạn 33 ngày. Đề xuất: chuyển sang thu hồi theo hợp đồng nếu quá 45 ngày.</w:t>
      </w:r>
    </w:p>
    <w:p>
      <w:pPr>
        <w:jc w:val="both"/>
      </w:pPr>
      <w:r>
        <w:rPr>
          <w:b w:val="0"/>
          <w:i w:val="0"/>
        </w:rPr>
        <w:t>– Đối thủ tiếp tục giảm giá giấy A4 thêm 2% (tổng khoảng 5%). Đề xuất: Giám đốc cân nhắc chương trình khuyến mại combo giấy + mực cho khách hàng thân thiết.</w:t>
      </w:r>
    </w:p>
    <w:p>
      <w:pPr>
        <w:spacing w:before="160"/>
      </w:pPr>
      <w:r>
        <w:rPr>
          <w:b/>
          <w:i w:val="0"/>
        </w:rPr>
        <w:t>5. Kế hoạch tuần tới</w:t>
      </w:r>
    </w:p>
    <w:p>
      <w:pPr>
        <w:jc w:val="both"/>
      </w:pPr>
      <w:r>
        <w:rPr>
          <w:b w:val="0"/>
          <w:i w:val="0"/>
        </w:rPr>
        <w:t>– Theo dõi phản hồi báo giá toà nhà Minh Quang.</w:t>
      </w:r>
    </w:p>
    <w:p>
      <w:pPr>
        <w:jc w:val="both"/>
      </w:pPr>
      <w:r>
        <w:rPr>
          <w:b w:val="0"/>
          <w:i w:val="0"/>
        </w:rPr>
        <w:t>– Đề xuất chương trình combo giấy + mực.</w:t>
      </w:r>
    </w:p>
    <w:p>
      <w:pPr>
        <w:jc w:val="both"/>
      </w:pPr>
      <w:r>
        <w:rPr>
          <w:b w:val="0"/>
          <w:i w:val="0"/>
        </w:rPr>
        <w:t>– Tiếp tục thu hồi nợ Phúc Lộc.</w:t>
      </w:r>
    </w:p>
    <w:p>
      <w:pPr>
        <w:jc w:val="both"/>
      </w:pPr>
      <w:r>
        <w:rPr>
          <w:b w:val="0"/>
          <w:i w:val="0"/>
        </w:rPr>
        <w:t>– Mở rộng tiếp cận thêm 5 trường học khu vực Hà Đông.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