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4B896" w14:textId="77777777" w:rsidR="008464BF" w:rsidRPr="008464BF" w:rsidRDefault="008464BF" w:rsidP="008464BF">
      <w:pPr>
        <w:jc w:val="both"/>
        <w:rPr>
          <w:b/>
          <w:bCs/>
        </w:rPr>
      </w:pPr>
      <w:r w:rsidRPr="008464BF">
        <w:rPr>
          <w:b/>
          <w:bCs/>
        </w:rPr>
        <w:t>Sensitive data sharing: The Hows, the Whys, and the Whats</w:t>
      </w:r>
    </w:p>
    <w:p w14:paraId="4310D6E8" w14:textId="77777777" w:rsidR="008464BF" w:rsidRPr="008464BF" w:rsidRDefault="008464BF" w:rsidP="008464BF">
      <w:pPr>
        <w:jc w:val="both"/>
      </w:pPr>
      <w:r w:rsidRPr="008464BF">
        <w:t xml:space="preserve">Louise de Béthune, State Archives of Belgium—KU Leuven </w:t>
      </w:r>
    </w:p>
    <w:p w14:paraId="7F5F17B1" w14:textId="1149460B" w:rsidR="008464BF" w:rsidRPr="008464BF" w:rsidRDefault="008464BF" w:rsidP="008464BF">
      <w:pPr>
        <w:jc w:val="both"/>
      </w:pPr>
      <w:r w:rsidRPr="008464BF">
        <w:t>István László Gyimes, State Archives or Belgium—VUB</w:t>
      </w:r>
    </w:p>
    <w:p w14:paraId="534C3EC7" w14:textId="28452311" w:rsidR="00993D66" w:rsidRPr="00993725" w:rsidRDefault="00993D66" w:rsidP="00993D66">
      <w:pPr>
        <w:jc w:val="both"/>
      </w:pPr>
      <w:r w:rsidRPr="00993D66">
        <w:rPr>
          <w:b/>
          <w:bCs/>
        </w:rPr>
        <w:t>Abstract</w:t>
      </w:r>
    </w:p>
    <w:p w14:paraId="5160F160" w14:textId="4889DA48" w:rsidR="007A6330" w:rsidRDefault="007A6330" w:rsidP="00993D66">
      <w:pPr>
        <w:jc w:val="both"/>
      </w:pPr>
      <w:r>
        <w:t xml:space="preserve">The Social Sciences and Digital Humanities Archive (SODHA) is currently running a project titled </w:t>
      </w:r>
      <w:r w:rsidRPr="00993725">
        <w:t>Dependable Archive for Managing sensitive Records</w:t>
      </w:r>
      <w:r>
        <w:t xml:space="preserve"> (DAMAR). This project aims to build the infrastructure (both legal and practical) for allowing researchers to conduct scientific projects using sensitive data. In this poster presentation, we will discuss the legal definition of sensitive data, the potential pitfalls of allowing research on such data, and give suggestions on how we can build a safe, secure, and trustable framework for holding, preserving, and allowing access to sensitive data.</w:t>
      </w:r>
    </w:p>
    <w:p w14:paraId="31B1C1D5" w14:textId="75C095CA" w:rsidR="00A95CF8" w:rsidRPr="00A95CF8" w:rsidRDefault="00A95CF8" w:rsidP="00993D66">
      <w:pPr>
        <w:jc w:val="both"/>
        <w:rPr>
          <w:b/>
          <w:bCs/>
        </w:rPr>
      </w:pPr>
      <w:r w:rsidRPr="00A95CF8">
        <w:rPr>
          <w:b/>
          <w:bCs/>
        </w:rPr>
        <w:t>Legal  Challenges</w:t>
      </w:r>
    </w:p>
    <w:p w14:paraId="0F18D914" w14:textId="120B7D2A" w:rsidR="007A6330" w:rsidRDefault="007A6330" w:rsidP="00993D66">
      <w:pPr>
        <w:jc w:val="both"/>
      </w:pPr>
      <w:r w:rsidRPr="00993725">
        <w:t>The General Data Protection Regulation</w:t>
      </w:r>
      <w:r>
        <w:t xml:space="preserve"> (</w:t>
      </w:r>
      <w:r w:rsidRPr="00993725">
        <w:t>GDPR</w:t>
      </w:r>
      <w:r>
        <w:t xml:space="preserve">, </w:t>
      </w:r>
      <w:r w:rsidRPr="00993725">
        <w:t xml:space="preserve">art.9) considers data that relates to an individual’s health, ethnicity, religion or sexual orientation as sensitive data. Misuse of such data can severely infringe upon the rights and freedoms of the data subject, thus the GDPR is more stringent when </w:t>
      </w:r>
      <w:r w:rsidR="003B2D6D">
        <w:t>sensitive</w:t>
      </w:r>
      <w:r w:rsidRPr="00993725">
        <w:t xml:space="preserve"> data is processed.</w:t>
      </w:r>
      <w:r>
        <w:t xml:space="preserve"> However, there are other, less intuitive, attribute</w:t>
      </w:r>
      <w:r w:rsidR="00535D22">
        <w:t>s</w:t>
      </w:r>
      <w:r>
        <w:t xml:space="preserve"> that are</w:t>
      </w:r>
      <w:r w:rsidR="00535D22">
        <w:t xml:space="preserve"> considered</w:t>
      </w:r>
      <w:r>
        <w:t xml:space="preserve"> sensitive</w:t>
      </w:r>
      <w:r w:rsidR="00535D22">
        <w:t xml:space="preserve"> from a legal perspective</w:t>
      </w:r>
      <w:r>
        <w:t>, such as financial information and criminal records (art. 10</w:t>
      </w:r>
      <w:r w:rsidR="00535D22">
        <w:t xml:space="preserve"> GDPR</w:t>
      </w:r>
      <w:r>
        <w:t>). Even though measures are taken</w:t>
      </w:r>
      <w:r w:rsidRPr="00993725">
        <w:t xml:space="preserve">, </w:t>
      </w:r>
      <w:r>
        <w:t>where</w:t>
      </w:r>
      <w:r w:rsidRPr="00993725">
        <w:t xml:space="preserve"> rare or singular cases are concerned</w:t>
      </w:r>
      <w:r>
        <w:t>,</w:t>
      </w:r>
      <w:r w:rsidRPr="00993725">
        <w:t xml:space="preserve"> the context may risk to reveal</w:t>
      </w:r>
      <w:r>
        <w:t xml:space="preserve"> (disclose)</w:t>
      </w:r>
      <w:r w:rsidRPr="00993725">
        <w:t xml:space="preserve"> the </w:t>
      </w:r>
      <w:r>
        <w:t xml:space="preserve">sensitive </w:t>
      </w:r>
      <w:r w:rsidRPr="00993725">
        <w:t>content.</w:t>
      </w:r>
      <w:r>
        <w:t xml:space="preserve"> Understanding how these data are considered sensitive is pivotal for data archives.</w:t>
      </w:r>
    </w:p>
    <w:p w14:paraId="2FFC9BD6" w14:textId="4485E426" w:rsidR="008464BF" w:rsidRDefault="007A6330" w:rsidP="00993D66">
      <w:pPr>
        <w:jc w:val="both"/>
      </w:pPr>
      <w:r>
        <w:t>However, such invaluable data should be available for research purposes.</w:t>
      </w:r>
      <w:r w:rsidRPr="00993725">
        <w:t xml:space="preserve"> </w:t>
      </w:r>
      <w:r>
        <w:t>Thus, t</w:t>
      </w:r>
      <w:r w:rsidRPr="00993725">
        <w:t xml:space="preserve">he research exception </w:t>
      </w:r>
      <w:r>
        <w:t>defined</w:t>
      </w:r>
      <w:r w:rsidRPr="00993725">
        <w:t xml:space="preserve"> in the GDPR (art. 9</w:t>
      </w:r>
      <w:r w:rsidR="00156E2C">
        <w:t>(</w:t>
      </w:r>
      <w:r w:rsidRPr="00993725">
        <w:t>2</w:t>
      </w:r>
      <w:r w:rsidR="00156E2C">
        <w:t>)</w:t>
      </w:r>
      <w:r w:rsidRPr="00993725">
        <w:t xml:space="preserve">.j and 89) may </w:t>
      </w:r>
      <w:r>
        <w:t>provide some foundation</w:t>
      </w:r>
      <w:r w:rsidRPr="00993725">
        <w:t xml:space="preserve"> for processing the sensitive data for research purposes</w:t>
      </w:r>
      <w:r w:rsidR="00535D22">
        <w:t>.</w:t>
      </w:r>
      <w:r w:rsidR="00210364">
        <w:t xml:space="preserve"> </w:t>
      </w:r>
      <w:r w:rsidR="001D127C" w:rsidRPr="001D127C">
        <w:t xml:space="preserve">Article 5.1(b) of the GDPR introduces a similar exception for the secondary use of data </w:t>
      </w:r>
      <w:r w:rsidR="001D127C">
        <w:t>for</w:t>
      </w:r>
      <w:r w:rsidR="001D127C" w:rsidRPr="001D127C">
        <w:t xml:space="preserve"> </w:t>
      </w:r>
      <w:r w:rsidR="001D127C">
        <w:t>further</w:t>
      </w:r>
      <w:r w:rsidR="001D127C" w:rsidRPr="001D127C">
        <w:t xml:space="preserve"> research</w:t>
      </w:r>
      <w:r w:rsidR="001D127C">
        <w:t xml:space="preserve">. </w:t>
      </w:r>
      <w:r>
        <w:t xml:space="preserve">We will discuss how that is possible while keeping the data safe, and how we can prevent accidental </w:t>
      </w:r>
      <w:r w:rsidR="000C0F26">
        <w:t>identification o</w:t>
      </w:r>
      <w:r>
        <w:t xml:space="preserve">f individuals or entities. </w:t>
      </w:r>
      <w:r w:rsidR="008464BF">
        <w:t>Moreover, the recent Data Governance Act introduced the potential of secure processing environments (</w:t>
      </w:r>
      <w:r w:rsidR="008464BF" w:rsidRPr="008464BF">
        <w:t>Art. 5.</w:t>
      </w:r>
      <w:r w:rsidR="008464BF">
        <w:t xml:space="preserve">3 DGA), where strict measures make it possible to share sensitive data for the public benefit. </w:t>
      </w:r>
    </w:p>
    <w:p w14:paraId="2F83C5F4" w14:textId="7B13720A" w:rsidR="00A95CF8" w:rsidRPr="00A95CF8" w:rsidRDefault="00A95CF8" w:rsidP="00993D66">
      <w:pPr>
        <w:jc w:val="both"/>
        <w:rPr>
          <w:b/>
          <w:bCs/>
        </w:rPr>
      </w:pPr>
      <w:r w:rsidRPr="00A95CF8">
        <w:rPr>
          <w:b/>
          <w:bCs/>
        </w:rPr>
        <w:t>Practical Challenges</w:t>
      </w:r>
    </w:p>
    <w:p w14:paraId="474C88A4" w14:textId="5DCD81E2" w:rsidR="007A6330" w:rsidRDefault="007A6330" w:rsidP="00993D66">
      <w:pPr>
        <w:jc w:val="both"/>
      </w:pPr>
      <w:r>
        <w:t xml:space="preserve">Firstly, linking non-sensitive data, or sensitive but anonymised data, might lead to re-identification of individuals and disclosure of their sensitive information. Thus, data archives must control what datasets can be linked with each other to mitigate this risk. While this seemingly goes against the interoperability FAIR principle, data protection sometimes outweighs research benefits. </w:t>
      </w:r>
      <w:r w:rsidR="00AF43BF">
        <w:t>Secondly</w:t>
      </w:r>
      <w:r w:rsidR="00535D22">
        <w:t xml:space="preserve"> anonymisation is often considered a go-to option for preventing re</w:t>
      </w:r>
      <w:r w:rsidR="000C0F26">
        <w:t>-</w:t>
      </w:r>
      <w:r w:rsidR="00535D22">
        <w:t>identification</w:t>
      </w:r>
      <w:r w:rsidR="00EA0EEA">
        <w:t>, y</w:t>
      </w:r>
      <w:r w:rsidR="00535D22">
        <w:t xml:space="preserve">et its permanence </w:t>
      </w:r>
      <w:r w:rsidR="00EA0EEA">
        <w:t xml:space="preserve">and stability </w:t>
      </w:r>
      <w:r w:rsidR="00535D22">
        <w:t xml:space="preserve">is not given. </w:t>
      </w:r>
      <w:r>
        <w:t xml:space="preserve">Similarly, some outputs of scientific analysis may risk disclosing sensitive information. </w:t>
      </w:r>
      <w:r>
        <w:lastRenderedPageBreak/>
        <w:t>This is an often overlooked aspect of analysing sensitive data, despite the clear risk it entails. We will discuss how we can ensure that researchers analysing the data are trained, and the output they produce is safe.</w:t>
      </w:r>
    </w:p>
    <w:p w14:paraId="6395CAB3" w14:textId="274EE342" w:rsidR="004B3EC4" w:rsidRDefault="007A6330" w:rsidP="00993D66">
      <w:pPr>
        <w:jc w:val="both"/>
      </w:pPr>
      <w:r>
        <w:t xml:space="preserve">Lastly, we will discuss existing frameworks that a data archive can use when developing an infrastructure for sensitive data. For instance, the 5 Safes framework details the importance of ensuring that the data, the researchers, the setting (environment, for example a trusted research environment, TRE), the project (what the aim of the research is), and the outputs are safe. Data archives are in the position to ensure that all of these safes are met, thus ensuring that the research does not infringe </w:t>
      </w:r>
      <w:r w:rsidR="00EA0EEA">
        <w:t>up</w:t>
      </w:r>
      <w:r>
        <w:t>on the rights of the individuals and entities, while producing results for the public good.</w:t>
      </w:r>
    </w:p>
    <w:sectPr w:rsidR="004B3EC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330"/>
    <w:rsid w:val="000A1179"/>
    <w:rsid w:val="000C0F26"/>
    <w:rsid w:val="00112DC9"/>
    <w:rsid w:val="00156E2C"/>
    <w:rsid w:val="001D127C"/>
    <w:rsid w:val="00210364"/>
    <w:rsid w:val="003B2D6D"/>
    <w:rsid w:val="00495C07"/>
    <w:rsid w:val="004B3EC4"/>
    <w:rsid w:val="00535D22"/>
    <w:rsid w:val="005C6128"/>
    <w:rsid w:val="0070249E"/>
    <w:rsid w:val="007A6330"/>
    <w:rsid w:val="00836A8C"/>
    <w:rsid w:val="008464BF"/>
    <w:rsid w:val="00863B4E"/>
    <w:rsid w:val="00993D66"/>
    <w:rsid w:val="009A36C1"/>
    <w:rsid w:val="00A95CF8"/>
    <w:rsid w:val="00AF43BF"/>
    <w:rsid w:val="00BD53F9"/>
    <w:rsid w:val="00D51D6D"/>
    <w:rsid w:val="00EA0EEA"/>
    <w:rsid w:val="00ED3B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895D7"/>
  <w15:chartTrackingRefBased/>
  <w15:docId w15:val="{6533F2DE-25B9-4F25-99B4-CCAF7B63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7A6330"/>
  </w:style>
  <w:style w:type="paragraph" w:styleId="Kop1">
    <w:name w:val="heading 1"/>
    <w:basedOn w:val="Standaard"/>
    <w:next w:val="Standaard"/>
    <w:link w:val="Kop1Char"/>
    <w:uiPriority w:val="9"/>
    <w:qFormat/>
    <w:rsid w:val="007A6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A6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A633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A633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A633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A633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A633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A633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A633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A633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A633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A633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A633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A633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A633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A633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A633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A6330"/>
    <w:rPr>
      <w:rFonts w:eastAsiaTheme="majorEastAsia" w:cstheme="majorBidi"/>
      <w:color w:val="272727" w:themeColor="text1" w:themeTint="D8"/>
    </w:rPr>
  </w:style>
  <w:style w:type="paragraph" w:styleId="Titel">
    <w:name w:val="Title"/>
    <w:basedOn w:val="Standaard"/>
    <w:next w:val="Standaard"/>
    <w:link w:val="TitelChar"/>
    <w:uiPriority w:val="10"/>
    <w:qFormat/>
    <w:rsid w:val="007A6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A633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A633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A633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A633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A6330"/>
    <w:rPr>
      <w:i/>
      <w:iCs/>
      <w:color w:val="404040" w:themeColor="text1" w:themeTint="BF"/>
    </w:rPr>
  </w:style>
  <w:style w:type="paragraph" w:styleId="Lijstalinea">
    <w:name w:val="List Paragraph"/>
    <w:basedOn w:val="Standaard"/>
    <w:uiPriority w:val="34"/>
    <w:qFormat/>
    <w:rsid w:val="007A6330"/>
    <w:pPr>
      <w:ind w:left="720"/>
      <w:contextualSpacing/>
    </w:pPr>
  </w:style>
  <w:style w:type="character" w:styleId="Intensievebenadrukking">
    <w:name w:val="Intense Emphasis"/>
    <w:basedOn w:val="Standaardalinea-lettertype"/>
    <w:uiPriority w:val="21"/>
    <w:qFormat/>
    <w:rsid w:val="007A6330"/>
    <w:rPr>
      <w:i/>
      <w:iCs/>
      <w:color w:val="0F4761" w:themeColor="accent1" w:themeShade="BF"/>
    </w:rPr>
  </w:style>
  <w:style w:type="paragraph" w:styleId="Duidelijkcitaat">
    <w:name w:val="Intense Quote"/>
    <w:basedOn w:val="Standaard"/>
    <w:next w:val="Standaard"/>
    <w:link w:val="DuidelijkcitaatChar"/>
    <w:uiPriority w:val="30"/>
    <w:qFormat/>
    <w:rsid w:val="007A6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A6330"/>
    <w:rPr>
      <w:i/>
      <w:iCs/>
      <w:color w:val="0F4761" w:themeColor="accent1" w:themeShade="BF"/>
    </w:rPr>
  </w:style>
  <w:style w:type="character" w:styleId="Intensieveverwijzing">
    <w:name w:val="Intense Reference"/>
    <w:basedOn w:val="Standaardalinea-lettertype"/>
    <w:uiPriority w:val="32"/>
    <w:qFormat/>
    <w:rsid w:val="007A6330"/>
    <w:rPr>
      <w:b/>
      <w:bCs/>
      <w:smallCaps/>
      <w:color w:val="0F4761" w:themeColor="accent1" w:themeShade="BF"/>
      <w:spacing w:val="5"/>
    </w:rPr>
  </w:style>
  <w:style w:type="character" w:styleId="Verwijzingopmerking">
    <w:name w:val="annotation reference"/>
    <w:basedOn w:val="Standaardalinea-lettertype"/>
    <w:uiPriority w:val="99"/>
    <w:semiHidden/>
    <w:unhideWhenUsed/>
    <w:rsid w:val="00993D66"/>
    <w:rPr>
      <w:sz w:val="16"/>
      <w:szCs w:val="16"/>
    </w:rPr>
  </w:style>
  <w:style w:type="paragraph" w:styleId="Tekstopmerking">
    <w:name w:val="annotation text"/>
    <w:basedOn w:val="Standaard"/>
    <w:link w:val="TekstopmerkingChar"/>
    <w:uiPriority w:val="99"/>
    <w:unhideWhenUsed/>
    <w:rsid w:val="00993D66"/>
    <w:pPr>
      <w:spacing w:line="240" w:lineRule="auto"/>
    </w:pPr>
    <w:rPr>
      <w:sz w:val="20"/>
      <w:szCs w:val="20"/>
    </w:rPr>
  </w:style>
  <w:style w:type="character" w:customStyle="1" w:styleId="TekstopmerkingChar">
    <w:name w:val="Tekst opmerking Char"/>
    <w:basedOn w:val="Standaardalinea-lettertype"/>
    <w:link w:val="Tekstopmerking"/>
    <w:uiPriority w:val="99"/>
    <w:rsid w:val="00993D66"/>
    <w:rPr>
      <w:sz w:val="20"/>
      <w:szCs w:val="20"/>
    </w:rPr>
  </w:style>
  <w:style w:type="paragraph" w:styleId="Onderwerpvanopmerking">
    <w:name w:val="annotation subject"/>
    <w:basedOn w:val="Tekstopmerking"/>
    <w:next w:val="Tekstopmerking"/>
    <w:link w:val="OnderwerpvanopmerkingChar"/>
    <w:uiPriority w:val="99"/>
    <w:semiHidden/>
    <w:unhideWhenUsed/>
    <w:rsid w:val="00535D22"/>
    <w:rPr>
      <w:b/>
      <w:bCs/>
    </w:rPr>
  </w:style>
  <w:style w:type="character" w:customStyle="1" w:styleId="OnderwerpvanopmerkingChar">
    <w:name w:val="Onderwerp van opmerking Char"/>
    <w:basedOn w:val="TekstopmerkingChar"/>
    <w:link w:val="Onderwerpvanopmerking"/>
    <w:uiPriority w:val="99"/>
    <w:semiHidden/>
    <w:rsid w:val="00535D2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563</Words>
  <Characters>3097</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Gyimes Istvan</dc:creator>
  <cp:keywords/>
  <dc:description/>
  <cp:lastModifiedBy>Louise de Béthune</cp:lastModifiedBy>
  <cp:revision>3</cp:revision>
  <dcterms:created xsi:type="dcterms:W3CDTF">2025-05-19T08:39:00Z</dcterms:created>
  <dcterms:modified xsi:type="dcterms:W3CDTF">2025-05-19T08:39:00Z</dcterms:modified>
</cp:coreProperties>
</file>