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2D85" w:rsidRPr="00D302AC" w:rsidRDefault="009708FF" w:rsidP="00223DB6">
      <w:pPr>
        <w:rPr>
          <w:b/>
          <w:lang w:val="fr-CH"/>
        </w:rPr>
      </w:pPr>
      <w:r w:rsidRPr="00D302AC">
        <w:rPr>
          <w:b/>
          <w:lang w:val="fr-CH"/>
        </w:rPr>
        <w:t>Supp</w:t>
      </w:r>
      <w:r w:rsidR="00A22ABF">
        <w:rPr>
          <w:b/>
          <w:lang w:val="fr-CH"/>
        </w:rPr>
        <w:t>lemetal information to section 3</w:t>
      </w:r>
      <w:r w:rsidRPr="00D302AC">
        <w:rPr>
          <w:b/>
          <w:lang w:val="fr-CH"/>
        </w:rPr>
        <w:t>.3 Time-scale and age control</w:t>
      </w:r>
    </w:p>
    <w:p w:rsidR="009708FF" w:rsidRPr="00D302AC" w:rsidRDefault="009708FF" w:rsidP="00223DB6">
      <w:pPr>
        <w:rPr>
          <w:b/>
          <w:lang w:val="fr-CH"/>
        </w:rPr>
      </w:pPr>
    </w:p>
    <w:p w:rsidR="009708FF" w:rsidRPr="00A22ABF" w:rsidRDefault="009708FF" w:rsidP="00A22ABF">
      <w:pPr>
        <w:pStyle w:val="Listenabsatz"/>
        <w:numPr>
          <w:ilvl w:val="2"/>
          <w:numId w:val="3"/>
        </w:numPr>
        <w:spacing w:line="360" w:lineRule="auto"/>
        <w:rPr>
          <w:b/>
          <w:color w:val="000000" w:themeColor="text1"/>
          <w:sz w:val="20"/>
          <w:szCs w:val="20"/>
        </w:rPr>
      </w:pPr>
      <w:r w:rsidRPr="00A22ABF">
        <w:rPr>
          <w:b/>
          <w:color w:val="000000" w:themeColor="text1"/>
          <w:sz w:val="20"/>
          <w:szCs w:val="20"/>
        </w:rPr>
        <w:t xml:space="preserve">Comments on the interpretation of the </w:t>
      </w:r>
      <w:r w:rsidRPr="00A22ABF">
        <w:rPr>
          <w:rFonts w:ascii="Symbol" w:hAnsi="Symbol"/>
          <w:b/>
          <w:color w:val="000000" w:themeColor="text1"/>
          <w:sz w:val="20"/>
          <w:szCs w:val="20"/>
        </w:rPr>
        <w:t></w:t>
      </w:r>
      <w:r w:rsidRPr="00A22ABF">
        <w:rPr>
          <w:b/>
          <w:color w:val="000000" w:themeColor="text1"/>
          <w:sz w:val="20"/>
          <w:szCs w:val="20"/>
          <w:vertAlign w:val="superscript"/>
        </w:rPr>
        <w:t>18</w:t>
      </w:r>
      <w:r w:rsidRPr="00A22ABF">
        <w:rPr>
          <w:b/>
          <w:color w:val="000000" w:themeColor="text1"/>
          <w:sz w:val="20"/>
          <w:szCs w:val="20"/>
        </w:rPr>
        <w:t>O record at Hole 806B between 0-2 Ma:</w:t>
      </w:r>
    </w:p>
    <w:p w:rsidR="009708FF" w:rsidRPr="00B27579" w:rsidRDefault="009708FF" w:rsidP="009708FF">
      <w:pPr>
        <w:spacing w:line="360" w:lineRule="auto"/>
        <w:rPr>
          <w:color w:val="000000" w:themeColor="text1"/>
          <w:sz w:val="20"/>
          <w:szCs w:val="20"/>
        </w:rPr>
      </w:pPr>
      <w:r>
        <w:rPr>
          <w:color w:val="000000" w:themeColor="text1"/>
          <w:sz w:val="20"/>
          <w:szCs w:val="20"/>
        </w:rPr>
        <w:t>Depths for isotope events from Hole 806B were</w:t>
      </w:r>
      <w:r w:rsidR="00D302AC">
        <w:rPr>
          <w:color w:val="000000" w:themeColor="text1"/>
          <w:sz w:val="20"/>
          <w:szCs w:val="20"/>
        </w:rPr>
        <w:t xml:space="preserve"> read from Table 1 and Fig.</w:t>
      </w:r>
      <w:r w:rsidR="000B623B">
        <w:rPr>
          <w:color w:val="000000" w:themeColor="text1"/>
          <w:sz w:val="20"/>
          <w:szCs w:val="20"/>
        </w:rPr>
        <w:t xml:space="preserve"> 3, both </w:t>
      </w:r>
      <w:r>
        <w:rPr>
          <w:color w:val="000000" w:themeColor="text1"/>
          <w:sz w:val="20"/>
          <w:szCs w:val="20"/>
        </w:rPr>
        <w:t xml:space="preserve">in </w:t>
      </w:r>
      <w:r w:rsidRPr="00D302AC">
        <w:rPr>
          <w:color w:val="000000" w:themeColor="text1"/>
          <w:sz w:val="20"/>
          <w:szCs w:val="20"/>
        </w:rPr>
        <w:t>Berger et al. (1993)</w:t>
      </w:r>
      <w:r>
        <w:rPr>
          <w:color w:val="000000" w:themeColor="text1"/>
          <w:sz w:val="20"/>
          <w:szCs w:val="20"/>
        </w:rPr>
        <w:t>. Isotope events 1.1 through 17 (i.e. above the Mid Pleistocene Revolution) were visuall</w:t>
      </w:r>
      <w:r w:rsidR="00D302AC">
        <w:rPr>
          <w:color w:val="000000" w:themeColor="text1"/>
          <w:sz w:val="20"/>
          <w:szCs w:val="20"/>
        </w:rPr>
        <w:t>y identified by comparing Fig.</w:t>
      </w:r>
      <w:r>
        <w:rPr>
          <w:color w:val="000000" w:themeColor="text1"/>
          <w:sz w:val="20"/>
          <w:szCs w:val="20"/>
        </w:rPr>
        <w:t xml:space="preserve"> 3 in </w:t>
      </w:r>
      <w:r w:rsidRPr="00D302AC">
        <w:rPr>
          <w:color w:val="000000" w:themeColor="text1"/>
          <w:sz w:val="20"/>
          <w:szCs w:val="20"/>
        </w:rPr>
        <w:t xml:space="preserve">Berger et al. </w:t>
      </w:r>
      <w:r w:rsidRPr="00B27579">
        <w:rPr>
          <w:color w:val="000000" w:themeColor="text1"/>
          <w:sz w:val="20"/>
          <w:szCs w:val="20"/>
          <w:lang w:val="fr-CH"/>
        </w:rPr>
        <w:t xml:space="preserve">(1993) with Figure 5 of Prell et al. (1986) and </w:t>
      </w:r>
      <w:r w:rsidR="00D302AC" w:rsidRPr="00B27579">
        <w:rPr>
          <w:color w:val="000000" w:themeColor="text1"/>
          <w:sz w:val="20"/>
          <w:szCs w:val="20"/>
          <w:lang w:val="fr-CH"/>
        </w:rPr>
        <w:t>following</w:t>
      </w:r>
      <w:r w:rsidRPr="00B27579">
        <w:rPr>
          <w:color w:val="000000" w:themeColor="text1"/>
          <w:sz w:val="20"/>
          <w:szCs w:val="20"/>
          <w:lang w:val="fr-CH"/>
        </w:rPr>
        <w:t xml:space="preserve"> th</w:t>
      </w:r>
      <w:r w:rsidRPr="00D302AC">
        <w:rPr>
          <w:color w:val="000000" w:themeColor="text1"/>
          <w:sz w:val="20"/>
          <w:szCs w:val="20"/>
          <w:lang w:val="fr-CH"/>
        </w:rPr>
        <w:t xml:space="preserve">e nomenclature of Prell et al. (1986). According to Berger et al. </w:t>
      </w:r>
      <w:r w:rsidRPr="00652B4E">
        <w:rPr>
          <w:color w:val="000000" w:themeColor="text1"/>
          <w:sz w:val="20"/>
          <w:szCs w:val="20"/>
          <w:lang w:val="fr-CH"/>
        </w:rPr>
        <w:t xml:space="preserve">(1993) (cit. p. 383) the isotope stage 19 is missing in core 806B. </w:t>
      </w:r>
      <w:r w:rsidRPr="00B27579">
        <w:rPr>
          <w:color w:val="000000" w:themeColor="text1"/>
          <w:sz w:val="20"/>
          <w:szCs w:val="20"/>
        </w:rPr>
        <w:t>Therefore, this datum was excluded.</w:t>
      </w:r>
    </w:p>
    <w:p w:rsidR="009708FF" w:rsidRPr="00B27579" w:rsidRDefault="009708FF" w:rsidP="009708FF">
      <w:pPr>
        <w:spacing w:line="360" w:lineRule="auto"/>
        <w:rPr>
          <w:color w:val="000000" w:themeColor="text1"/>
          <w:sz w:val="20"/>
          <w:szCs w:val="20"/>
        </w:rPr>
      </w:pPr>
    </w:p>
    <w:p w:rsidR="009708FF" w:rsidRDefault="000B623B" w:rsidP="009708FF">
      <w:pPr>
        <w:spacing w:line="360" w:lineRule="auto"/>
        <w:rPr>
          <w:color w:val="000000" w:themeColor="text1"/>
          <w:sz w:val="20"/>
          <w:szCs w:val="20"/>
        </w:rPr>
      </w:pPr>
      <w:r w:rsidRPr="00B27579">
        <w:rPr>
          <w:color w:val="000000" w:themeColor="text1"/>
          <w:sz w:val="20"/>
          <w:szCs w:val="20"/>
        </w:rPr>
        <w:t xml:space="preserve">In </w:t>
      </w:r>
      <w:r w:rsidR="009708FF" w:rsidRPr="00B27579">
        <w:rPr>
          <w:color w:val="000000" w:themeColor="text1"/>
          <w:sz w:val="20"/>
          <w:szCs w:val="20"/>
        </w:rPr>
        <w:t xml:space="preserve">Hole 806B </w:t>
      </w:r>
      <w:r w:rsidRPr="00B27579">
        <w:rPr>
          <w:color w:val="000000" w:themeColor="text1"/>
          <w:sz w:val="20"/>
          <w:szCs w:val="20"/>
        </w:rPr>
        <w:t xml:space="preserve">the </w:t>
      </w:r>
      <w:r w:rsidR="009708FF" w:rsidRPr="00B27579">
        <w:rPr>
          <w:color w:val="000000" w:themeColor="text1"/>
          <w:sz w:val="20"/>
          <w:szCs w:val="20"/>
        </w:rPr>
        <w:t xml:space="preserve">portion older than the Mid Pleistocene Revolution (i.e. below the Brunhes/Matuyama boundary), isotope stages were visually identified by comparison </w:t>
      </w:r>
      <w:r w:rsidRPr="00B27579">
        <w:rPr>
          <w:color w:val="000000" w:themeColor="text1"/>
          <w:sz w:val="20"/>
          <w:szCs w:val="20"/>
        </w:rPr>
        <w:t xml:space="preserve">of </w:t>
      </w:r>
      <w:r w:rsidR="00D302AC" w:rsidRPr="00B27579">
        <w:rPr>
          <w:color w:val="000000" w:themeColor="text1"/>
          <w:sz w:val="20"/>
          <w:szCs w:val="20"/>
        </w:rPr>
        <w:t>Fig.</w:t>
      </w:r>
      <w:r w:rsidR="009708FF" w:rsidRPr="00B27579">
        <w:rPr>
          <w:color w:val="000000" w:themeColor="text1"/>
          <w:sz w:val="20"/>
          <w:szCs w:val="20"/>
        </w:rPr>
        <w:t xml:space="preserve"> 3 </w:t>
      </w:r>
      <w:r w:rsidRPr="00B27579">
        <w:rPr>
          <w:color w:val="000000" w:themeColor="text1"/>
          <w:sz w:val="20"/>
          <w:szCs w:val="20"/>
        </w:rPr>
        <w:t xml:space="preserve">in Berger et al. (1993) </w:t>
      </w:r>
      <w:r w:rsidR="009708FF" w:rsidRPr="00B27579">
        <w:rPr>
          <w:color w:val="000000" w:themeColor="text1"/>
          <w:sz w:val="20"/>
          <w:szCs w:val="20"/>
        </w:rPr>
        <w:t>with the obli</w:t>
      </w:r>
      <w:r w:rsidR="00D302AC" w:rsidRPr="00B27579">
        <w:rPr>
          <w:color w:val="000000" w:themeColor="text1"/>
          <w:sz w:val="20"/>
          <w:szCs w:val="20"/>
        </w:rPr>
        <w:t>quity time scale given in Fig.</w:t>
      </w:r>
      <w:r w:rsidR="009708FF" w:rsidRPr="00B27579">
        <w:rPr>
          <w:color w:val="000000" w:themeColor="text1"/>
          <w:sz w:val="20"/>
          <w:szCs w:val="20"/>
        </w:rPr>
        <w:t xml:space="preserve"> 3 of Ruddiman et al (1986) and applying t</w:t>
      </w:r>
      <w:r w:rsidRPr="00B27579">
        <w:rPr>
          <w:color w:val="000000" w:themeColor="text1"/>
          <w:sz w:val="20"/>
          <w:szCs w:val="20"/>
        </w:rPr>
        <w:t xml:space="preserve">he </w:t>
      </w:r>
      <w:r w:rsidR="009708FF" w:rsidRPr="00B27579">
        <w:rPr>
          <w:color w:val="000000" w:themeColor="text1"/>
          <w:sz w:val="20"/>
          <w:szCs w:val="20"/>
        </w:rPr>
        <w:t>isotope stage nomenclature</w:t>
      </w:r>
      <w:r w:rsidRPr="00B27579">
        <w:rPr>
          <w:color w:val="000000" w:themeColor="text1"/>
          <w:sz w:val="20"/>
          <w:szCs w:val="20"/>
        </w:rPr>
        <w:t xml:space="preserve"> of the latter</w:t>
      </w:r>
      <w:r w:rsidR="009708FF" w:rsidRPr="00B27579">
        <w:rPr>
          <w:color w:val="000000" w:themeColor="text1"/>
          <w:sz w:val="20"/>
          <w:szCs w:val="20"/>
        </w:rPr>
        <w:t xml:space="preserve">. </w:t>
      </w:r>
      <w:r w:rsidR="009708FF">
        <w:rPr>
          <w:color w:val="000000" w:themeColor="text1"/>
          <w:sz w:val="20"/>
          <w:szCs w:val="20"/>
        </w:rPr>
        <w:t xml:space="preserve">Note in this case, that the numbering of the obliquity crests in </w:t>
      </w:r>
      <w:r w:rsidR="009708FF" w:rsidRPr="00D302AC">
        <w:rPr>
          <w:color w:val="000000" w:themeColor="text1"/>
          <w:sz w:val="20"/>
          <w:szCs w:val="20"/>
        </w:rPr>
        <w:t>Berger et al. (1993)</w:t>
      </w:r>
      <w:r w:rsidR="009708FF">
        <w:rPr>
          <w:color w:val="000000" w:themeColor="text1"/>
          <w:sz w:val="20"/>
          <w:szCs w:val="20"/>
        </w:rPr>
        <w:t xml:space="preserve"> is not identical to the numbering scheme of stages 19 through 63 given in </w:t>
      </w:r>
      <w:r w:rsidR="009708FF" w:rsidRPr="00D302AC">
        <w:rPr>
          <w:color w:val="000000" w:themeColor="text1"/>
          <w:sz w:val="20"/>
          <w:szCs w:val="20"/>
        </w:rPr>
        <w:t>Ruddiman (1986)</w:t>
      </w:r>
      <w:r w:rsidR="009708FF">
        <w:rPr>
          <w:color w:val="000000" w:themeColor="text1"/>
          <w:sz w:val="20"/>
          <w:szCs w:val="20"/>
        </w:rPr>
        <w:t xml:space="preserve">. For example, the o36 crest in </w:t>
      </w:r>
      <w:r w:rsidR="009708FF" w:rsidRPr="00D302AC">
        <w:rPr>
          <w:color w:val="000000" w:themeColor="text1"/>
          <w:sz w:val="20"/>
          <w:szCs w:val="20"/>
        </w:rPr>
        <w:t>Berger et al. (1993)</w:t>
      </w:r>
      <w:r w:rsidR="009708FF">
        <w:rPr>
          <w:color w:val="000000" w:themeColor="text1"/>
          <w:sz w:val="20"/>
          <w:szCs w:val="20"/>
        </w:rPr>
        <w:t xml:space="preserve"> is interpreted to correspond to </w:t>
      </w:r>
      <w:r w:rsidR="009708FF" w:rsidRPr="00A413C5">
        <w:rPr>
          <w:rFonts w:ascii="Symbol" w:hAnsi="Symbol"/>
          <w:color w:val="000000" w:themeColor="text1"/>
          <w:sz w:val="20"/>
          <w:szCs w:val="20"/>
        </w:rPr>
        <w:t></w:t>
      </w:r>
      <w:r w:rsidR="009708FF" w:rsidRPr="00A413C5">
        <w:rPr>
          <w:color w:val="000000" w:themeColor="text1"/>
          <w:sz w:val="20"/>
          <w:szCs w:val="20"/>
          <w:vertAlign w:val="superscript"/>
        </w:rPr>
        <w:t>18</w:t>
      </w:r>
      <w:r w:rsidR="009708FF">
        <w:rPr>
          <w:color w:val="000000" w:themeColor="text1"/>
          <w:sz w:val="20"/>
          <w:szCs w:val="20"/>
        </w:rPr>
        <w:t xml:space="preserve">O stage 47 in the obliquity scheme of </w:t>
      </w:r>
      <w:r w:rsidR="009708FF" w:rsidRPr="00D302AC">
        <w:rPr>
          <w:color w:val="000000" w:themeColor="text1"/>
          <w:sz w:val="20"/>
          <w:szCs w:val="20"/>
        </w:rPr>
        <w:t>Ruddiman (1986)</w:t>
      </w:r>
      <w:r w:rsidR="009708FF">
        <w:rPr>
          <w:color w:val="000000" w:themeColor="text1"/>
          <w:sz w:val="20"/>
          <w:szCs w:val="20"/>
        </w:rPr>
        <w:t xml:space="preserve">. In </w:t>
      </w:r>
      <w:r w:rsidR="009708FF" w:rsidRPr="00D302AC">
        <w:rPr>
          <w:color w:val="000000" w:themeColor="text1"/>
          <w:sz w:val="20"/>
          <w:szCs w:val="20"/>
        </w:rPr>
        <w:t>Berger et al. (1993)</w:t>
      </w:r>
      <w:r w:rsidR="009708FF">
        <w:rPr>
          <w:color w:val="000000" w:themeColor="text1"/>
          <w:sz w:val="20"/>
          <w:szCs w:val="20"/>
        </w:rPr>
        <w:t xml:space="preserve"> the obliquity crest numbering is defined i</w:t>
      </w:r>
      <w:r w:rsidR="00D302AC">
        <w:rPr>
          <w:color w:val="000000" w:themeColor="text1"/>
          <w:sz w:val="20"/>
          <w:szCs w:val="20"/>
        </w:rPr>
        <w:t>n the lower part of their fig.</w:t>
      </w:r>
      <w:r w:rsidR="009708FF">
        <w:rPr>
          <w:color w:val="000000" w:themeColor="text1"/>
          <w:sz w:val="20"/>
          <w:szCs w:val="20"/>
        </w:rPr>
        <w:t xml:space="preserve"> 8, and there is no regular alternation between odd interglacials and even glacial numbers.</w:t>
      </w:r>
    </w:p>
    <w:p w:rsidR="009708FF" w:rsidRDefault="009708FF" w:rsidP="009708FF">
      <w:pPr>
        <w:spacing w:line="360" w:lineRule="auto"/>
        <w:rPr>
          <w:color w:val="000000" w:themeColor="text1"/>
          <w:sz w:val="20"/>
          <w:szCs w:val="20"/>
        </w:rPr>
      </w:pPr>
    </w:p>
    <w:p w:rsidR="009708FF" w:rsidRDefault="009708FF" w:rsidP="009708FF">
      <w:pPr>
        <w:spacing w:line="360" w:lineRule="auto"/>
        <w:rPr>
          <w:color w:val="000000" w:themeColor="text1"/>
          <w:sz w:val="20"/>
          <w:szCs w:val="20"/>
        </w:rPr>
      </w:pPr>
      <w:r>
        <w:rPr>
          <w:color w:val="000000" w:themeColor="text1"/>
          <w:sz w:val="20"/>
          <w:szCs w:val="20"/>
        </w:rPr>
        <w:t xml:space="preserve">The depth intervals of the </w:t>
      </w:r>
      <w:r w:rsidRPr="001E200F">
        <w:rPr>
          <w:rFonts w:ascii="Symbol" w:hAnsi="Symbol"/>
          <w:color w:val="000000" w:themeColor="text1"/>
          <w:sz w:val="20"/>
          <w:szCs w:val="20"/>
        </w:rPr>
        <w:t></w:t>
      </w:r>
      <w:r w:rsidRPr="001E200F">
        <w:rPr>
          <w:color w:val="000000" w:themeColor="text1"/>
          <w:sz w:val="20"/>
          <w:szCs w:val="20"/>
          <w:vertAlign w:val="superscript"/>
        </w:rPr>
        <w:t>18</w:t>
      </w:r>
      <w:r>
        <w:rPr>
          <w:color w:val="000000" w:themeColor="text1"/>
          <w:sz w:val="20"/>
          <w:szCs w:val="20"/>
        </w:rPr>
        <w:t xml:space="preserve">O events identified in this way were then tabulated in a stratigraphic templet (O18W88M87templ.95) prepared for oxygen isotope events following the chronology of </w:t>
      </w:r>
      <w:r w:rsidRPr="00D302AC">
        <w:rPr>
          <w:color w:val="000000" w:themeColor="text1"/>
          <w:sz w:val="20"/>
          <w:szCs w:val="20"/>
        </w:rPr>
        <w:t>Williams et al. (1988)</w:t>
      </w:r>
      <w:r>
        <w:rPr>
          <w:color w:val="000000" w:themeColor="text1"/>
          <w:sz w:val="20"/>
          <w:szCs w:val="20"/>
        </w:rPr>
        <w:t xml:space="preserve"> and extended by additional isotope events using the ages given in </w:t>
      </w:r>
      <w:r w:rsidRPr="00D302AC">
        <w:rPr>
          <w:color w:val="000000" w:themeColor="text1"/>
          <w:sz w:val="20"/>
          <w:szCs w:val="20"/>
        </w:rPr>
        <w:t>Martinson et al. (1987)</w:t>
      </w:r>
      <w:r w:rsidRPr="00887BF4">
        <w:rPr>
          <w:color w:val="000000" w:themeColor="text1"/>
          <w:sz w:val="20"/>
          <w:szCs w:val="20"/>
        </w:rPr>
        <w:t>.</w:t>
      </w:r>
      <w:r>
        <w:rPr>
          <w:color w:val="000000" w:themeColor="text1"/>
          <w:sz w:val="20"/>
          <w:szCs w:val="20"/>
        </w:rPr>
        <w:t xml:space="preserve"> The ages of this oxygen isotope template were then magnetically converted by stepwise linear interpolation of reversals along the </w:t>
      </w:r>
      <w:r w:rsidRPr="00D302AC">
        <w:rPr>
          <w:color w:val="000000" w:themeColor="text1"/>
          <w:sz w:val="20"/>
          <w:szCs w:val="20"/>
        </w:rPr>
        <w:t>Cande and Kent (1995)</w:t>
      </w:r>
      <w:r w:rsidRPr="009F4D42">
        <w:rPr>
          <w:color w:val="000000" w:themeColor="text1"/>
          <w:sz w:val="20"/>
          <w:szCs w:val="20"/>
        </w:rPr>
        <w:t xml:space="preserve"> </w:t>
      </w:r>
      <w:r w:rsidR="00D302AC">
        <w:rPr>
          <w:color w:val="000000" w:themeColor="text1"/>
          <w:sz w:val="20"/>
          <w:szCs w:val="20"/>
        </w:rPr>
        <w:t xml:space="preserve">magnetic polarity time scale, which is the same as used </w:t>
      </w:r>
      <w:r>
        <w:rPr>
          <w:color w:val="000000" w:themeColor="text1"/>
          <w:sz w:val="20"/>
          <w:szCs w:val="20"/>
        </w:rPr>
        <w:t xml:space="preserve">in </w:t>
      </w:r>
      <w:r w:rsidR="00D302AC">
        <w:rPr>
          <w:color w:val="000000" w:themeColor="text1"/>
          <w:sz w:val="20"/>
          <w:szCs w:val="20"/>
        </w:rPr>
        <w:t>Berggren et al. (</w:t>
      </w:r>
      <w:r w:rsidRPr="00D302AC">
        <w:rPr>
          <w:color w:val="000000" w:themeColor="text1"/>
          <w:sz w:val="20"/>
          <w:szCs w:val="20"/>
        </w:rPr>
        <w:t>1995</w:t>
      </w:r>
      <w:r w:rsidR="00D302AC">
        <w:rPr>
          <w:color w:val="000000" w:themeColor="text1"/>
          <w:sz w:val="20"/>
          <w:szCs w:val="20"/>
        </w:rPr>
        <w:t>),</w:t>
      </w:r>
      <w:r>
        <w:rPr>
          <w:color w:val="000000" w:themeColor="text1"/>
          <w:sz w:val="20"/>
          <w:szCs w:val="20"/>
        </w:rPr>
        <w:t xml:space="preserve"> allowing projection of </w:t>
      </w:r>
      <w:r w:rsidRPr="000656AB">
        <w:rPr>
          <w:rFonts w:ascii="Symbol" w:hAnsi="Symbol"/>
          <w:color w:val="000000" w:themeColor="text1"/>
          <w:sz w:val="20"/>
          <w:szCs w:val="20"/>
        </w:rPr>
        <w:t></w:t>
      </w:r>
      <w:r w:rsidRPr="000656AB">
        <w:rPr>
          <w:color w:val="000000" w:themeColor="text1"/>
          <w:sz w:val="20"/>
          <w:szCs w:val="20"/>
          <w:vertAlign w:val="superscript"/>
        </w:rPr>
        <w:t>18</w:t>
      </w:r>
      <w:r>
        <w:rPr>
          <w:color w:val="000000" w:themeColor="text1"/>
          <w:sz w:val="20"/>
          <w:szCs w:val="20"/>
        </w:rPr>
        <w:t>O events from Hole 806B onto Hole 806C.</w:t>
      </w:r>
    </w:p>
    <w:p w:rsidR="009708FF" w:rsidRDefault="009708FF" w:rsidP="009708FF">
      <w:pPr>
        <w:spacing w:line="360" w:lineRule="auto"/>
        <w:rPr>
          <w:color w:val="000000" w:themeColor="text1"/>
          <w:sz w:val="20"/>
          <w:szCs w:val="20"/>
        </w:rPr>
      </w:pPr>
    </w:p>
    <w:p w:rsidR="009708FF" w:rsidRPr="00B27CCE" w:rsidRDefault="009708FF" w:rsidP="009708FF">
      <w:pPr>
        <w:spacing w:line="360" w:lineRule="auto"/>
        <w:rPr>
          <w:color w:val="000000" w:themeColor="text1"/>
          <w:sz w:val="20"/>
          <w:szCs w:val="20"/>
        </w:rPr>
      </w:pPr>
    </w:p>
    <w:p w:rsidR="009708FF" w:rsidRPr="00A22ABF" w:rsidRDefault="009708FF" w:rsidP="00A22ABF">
      <w:pPr>
        <w:pStyle w:val="Listenabsatz"/>
        <w:numPr>
          <w:ilvl w:val="3"/>
          <w:numId w:val="3"/>
        </w:numPr>
        <w:spacing w:line="360" w:lineRule="auto"/>
        <w:rPr>
          <w:b/>
          <w:color w:val="000000" w:themeColor="text1"/>
          <w:sz w:val="20"/>
          <w:szCs w:val="20"/>
        </w:rPr>
      </w:pPr>
      <w:r w:rsidRPr="00A22ABF">
        <w:rPr>
          <w:b/>
          <w:color w:val="000000" w:themeColor="text1"/>
          <w:sz w:val="20"/>
          <w:szCs w:val="20"/>
        </w:rPr>
        <w:t>Estimation of the Brunhes/Matuyama boundary:</w:t>
      </w:r>
    </w:p>
    <w:p w:rsidR="009708FF" w:rsidRDefault="009708FF" w:rsidP="009708FF">
      <w:pPr>
        <w:spacing w:line="360" w:lineRule="auto"/>
        <w:rPr>
          <w:color w:val="000000" w:themeColor="text1"/>
          <w:sz w:val="20"/>
          <w:szCs w:val="20"/>
        </w:rPr>
      </w:pPr>
      <w:r w:rsidRPr="00B27CCE">
        <w:rPr>
          <w:color w:val="000000" w:themeColor="text1"/>
          <w:sz w:val="20"/>
          <w:szCs w:val="20"/>
        </w:rPr>
        <w:t xml:space="preserve">Although no magnetostratigraphy is available for Hole 806B the Brunhes/Matuyama boundary (0.78 Ma) was isotopically estimated to occur between 15.7mbsf, i.e. within stage 19 (see pages 383 and 388 in </w:t>
      </w:r>
      <w:r w:rsidRPr="00D302AC">
        <w:rPr>
          <w:color w:val="000000" w:themeColor="text1"/>
          <w:sz w:val="20"/>
          <w:szCs w:val="20"/>
        </w:rPr>
        <w:t>Berger et al., 1993</w:t>
      </w:r>
      <w:r w:rsidRPr="00B27CCE">
        <w:rPr>
          <w:color w:val="000000" w:themeColor="text1"/>
          <w:sz w:val="20"/>
          <w:szCs w:val="20"/>
        </w:rPr>
        <w:t xml:space="preserve">). </w:t>
      </w:r>
    </w:p>
    <w:p w:rsidR="009708FF" w:rsidRDefault="009708FF" w:rsidP="009708FF">
      <w:pPr>
        <w:spacing w:line="360" w:lineRule="auto"/>
        <w:ind w:left="360"/>
        <w:rPr>
          <w:color w:val="000000" w:themeColor="text1"/>
          <w:sz w:val="20"/>
          <w:szCs w:val="20"/>
        </w:rPr>
      </w:pPr>
    </w:p>
    <w:p w:rsidR="009708FF" w:rsidRDefault="009708FF" w:rsidP="009708FF">
      <w:pPr>
        <w:spacing w:line="360" w:lineRule="auto"/>
        <w:ind w:left="360"/>
        <w:rPr>
          <w:color w:val="000000" w:themeColor="text1"/>
          <w:sz w:val="20"/>
          <w:szCs w:val="20"/>
        </w:rPr>
      </w:pPr>
    </w:p>
    <w:p w:rsidR="009708FF" w:rsidRPr="00D302AC" w:rsidRDefault="009708FF" w:rsidP="00A22ABF">
      <w:pPr>
        <w:pStyle w:val="Listenabsatz"/>
        <w:numPr>
          <w:ilvl w:val="3"/>
          <w:numId w:val="3"/>
        </w:numPr>
        <w:spacing w:line="360" w:lineRule="auto"/>
        <w:rPr>
          <w:b/>
          <w:color w:val="000000" w:themeColor="text1"/>
          <w:sz w:val="20"/>
          <w:szCs w:val="20"/>
          <w:lang w:val="fr-CH"/>
        </w:rPr>
      </w:pPr>
      <w:r w:rsidRPr="00D302AC">
        <w:rPr>
          <w:b/>
          <w:color w:val="000000" w:themeColor="text1"/>
          <w:sz w:val="20"/>
          <w:szCs w:val="20"/>
          <w:lang w:val="fr-CH"/>
        </w:rPr>
        <w:t>Inclusion of the Mid-Pleistocene Revolution:</w:t>
      </w:r>
    </w:p>
    <w:p w:rsidR="009708FF" w:rsidRDefault="009708FF" w:rsidP="009708FF">
      <w:pPr>
        <w:spacing w:line="360" w:lineRule="auto"/>
        <w:rPr>
          <w:color w:val="000000" w:themeColor="text1"/>
          <w:sz w:val="20"/>
          <w:szCs w:val="20"/>
        </w:rPr>
      </w:pPr>
      <w:r w:rsidRPr="00D302AC">
        <w:rPr>
          <w:color w:val="000000" w:themeColor="text1"/>
          <w:sz w:val="20"/>
          <w:szCs w:val="20"/>
          <w:lang w:val="fr-CH"/>
        </w:rPr>
        <w:t>According to Berg</w:t>
      </w:r>
      <w:r w:rsidR="00A62BBA" w:rsidRPr="00D302AC">
        <w:rPr>
          <w:color w:val="000000" w:themeColor="text1"/>
          <w:sz w:val="20"/>
          <w:szCs w:val="20"/>
          <w:lang w:val="fr-CH"/>
        </w:rPr>
        <w:t>er et al. (</w:t>
      </w:r>
      <w:r w:rsidRPr="00D302AC">
        <w:rPr>
          <w:color w:val="000000" w:themeColor="text1"/>
          <w:sz w:val="20"/>
          <w:szCs w:val="20"/>
          <w:lang w:val="fr-CH"/>
        </w:rPr>
        <w:t>1993</w:t>
      </w:r>
      <w:r w:rsidR="00A62BBA" w:rsidRPr="00D302AC">
        <w:rPr>
          <w:color w:val="000000" w:themeColor="text1"/>
          <w:sz w:val="20"/>
          <w:szCs w:val="20"/>
          <w:lang w:val="fr-CH"/>
        </w:rPr>
        <w:t>)</w:t>
      </w:r>
      <w:r w:rsidRPr="00D302AC">
        <w:rPr>
          <w:color w:val="000000" w:themeColor="text1"/>
          <w:sz w:val="20"/>
          <w:szCs w:val="20"/>
          <w:lang w:val="fr-CH"/>
        </w:rPr>
        <w:t xml:space="preserve">, </w:t>
      </w:r>
      <w:r w:rsidR="00A62BBA" w:rsidRPr="00D302AC">
        <w:rPr>
          <w:color w:val="000000" w:themeColor="text1"/>
          <w:sz w:val="20"/>
          <w:szCs w:val="20"/>
          <w:lang w:val="fr-CH"/>
        </w:rPr>
        <w:t>(</w:t>
      </w:r>
      <w:r w:rsidRPr="00D302AC">
        <w:rPr>
          <w:color w:val="000000" w:themeColor="text1"/>
          <w:sz w:val="20"/>
          <w:szCs w:val="20"/>
          <w:lang w:val="fr-CH"/>
        </w:rPr>
        <w:t xml:space="preserve">cit. p. 383 and Fig. 3) the Mid-Pleistocene Revolution (MPR, i.e. the change from a 41 kyrs cyclicity to 100kyrs cyclicity) at ODP Hole 806B falls at 18.5 adjusted mbsf. </w:t>
      </w:r>
      <w:r>
        <w:rPr>
          <w:color w:val="000000" w:themeColor="text1"/>
          <w:sz w:val="20"/>
          <w:szCs w:val="20"/>
        </w:rPr>
        <w:t xml:space="preserve">Along the mbsf scale a depth of 18.80 m is taken here, between peaks of </w:t>
      </w:r>
      <w:r w:rsidRPr="00CF570D">
        <w:rPr>
          <w:rFonts w:ascii="Symbol" w:hAnsi="Symbol"/>
          <w:color w:val="000000" w:themeColor="text1"/>
          <w:sz w:val="20"/>
          <w:szCs w:val="20"/>
        </w:rPr>
        <w:t></w:t>
      </w:r>
      <w:r w:rsidRPr="00CF570D">
        <w:rPr>
          <w:color w:val="000000" w:themeColor="text1"/>
          <w:sz w:val="20"/>
          <w:szCs w:val="20"/>
          <w:vertAlign w:val="superscript"/>
        </w:rPr>
        <w:t>18</w:t>
      </w:r>
      <w:r>
        <w:rPr>
          <w:color w:val="000000" w:themeColor="text1"/>
          <w:sz w:val="20"/>
          <w:szCs w:val="20"/>
        </w:rPr>
        <w:t xml:space="preserve">O stages 21 and 23. Linear interpolation between ages of peaks of stage 21 and stage 23 results in an age of 0.850 Ma fort </w:t>
      </w:r>
      <w:r>
        <w:rPr>
          <w:color w:val="000000" w:themeColor="text1"/>
          <w:sz w:val="20"/>
          <w:szCs w:val="20"/>
        </w:rPr>
        <w:lastRenderedPageBreak/>
        <w:t>he MPR along the above mentioned O18W88M87templ.95 time scale. The identified O18 events, the B/M datum and the datum fort he MPR were added tot he above original 806B fnrd bstrat95 file to give an integrated biostratigraphic templet 806B fnrdIM bstrat95.</w:t>
      </w:r>
    </w:p>
    <w:p w:rsidR="009708FF" w:rsidRDefault="009708FF" w:rsidP="009708FF">
      <w:pPr>
        <w:spacing w:line="360" w:lineRule="auto"/>
        <w:ind w:left="360"/>
        <w:rPr>
          <w:color w:val="000000" w:themeColor="text1"/>
          <w:sz w:val="20"/>
          <w:szCs w:val="20"/>
        </w:rPr>
      </w:pPr>
    </w:p>
    <w:p w:rsidR="009708FF" w:rsidRDefault="009708FF" w:rsidP="00A22ABF">
      <w:pPr>
        <w:pStyle w:val="Listenabsatz"/>
        <w:numPr>
          <w:ilvl w:val="2"/>
          <w:numId w:val="3"/>
        </w:numPr>
        <w:spacing w:line="360" w:lineRule="auto"/>
        <w:rPr>
          <w:b/>
          <w:color w:val="000000" w:themeColor="text1"/>
          <w:sz w:val="20"/>
          <w:szCs w:val="20"/>
        </w:rPr>
      </w:pPr>
      <w:r w:rsidRPr="00B27CCE">
        <w:rPr>
          <w:b/>
          <w:color w:val="000000" w:themeColor="text1"/>
          <w:sz w:val="20"/>
          <w:szCs w:val="20"/>
        </w:rPr>
        <w:t xml:space="preserve">Comments on the interpretation of the </w:t>
      </w:r>
      <w:r w:rsidRPr="00B27CCE">
        <w:rPr>
          <w:rFonts w:ascii="Symbol" w:hAnsi="Symbol"/>
          <w:b/>
          <w:color w:val="000000" w:themeColor="text1"/>
          <w:sz w:val="20"/>
          <w:szCs w:val="20"/>
        </w:rPr>
        <w:t></w:t>
      </w:r>
      <w:r w:rsidRPr="00B27CCE">
        <w:rPr>
          <w:b/>
          <w:color w:val="000000" w:themeColor="text1"/>
          <w:sz w:val="20"/>
          <w:szCs w:val="20"/>
          <w:vertAlign w:val="superscript"/>
        </w:rPr>
        <w:t>18</w:t>
      </w:r>
      <w:r w:rsidRPr="00B27CCE">
        <w:rPr>
          <w:b/>
          <w:color w:val="000000" w:themeColor="text1"/>
          <w:sz w:val="20"/>
          <w:szCs w:val="20"/>
        </w:rPr>
        <w:t xml:space="preserve">O record at Hole 806B </w:t>
      </w:r>
      <w:r>
        <w:rPr>
          <w:b/>
          <w:color w:val="000000" w:themeColor="text1"/>
          <w:sz w:val="20"/>
          <w:szCs w:val="20"/>
        </w:rPr>
        <w:t>between 2-5.4</w:t>
      </w:r>
      <w:r w:rsidRPr="00B27CCE">
        <w:rPr>
          <w:b/>
          <w:color w:val="000000" w:themeColor="text1"/>
          <w:sz w:val="20"/>
          <w:szCs w:val="20"/>
        </w:rPr>
        <w:t xml:space="preserve"> Ma:</w:t>
      </w:r>
    </w:p>
    <w:p w:rsidR="009708FF" w:rsidRDefault="009708FF" w:rsidP="009708FF">
      <w:pPr>
        <w:spacing w:line="360" w:lineRule="auto"/>
        <w:rPr>
          <w:color w:val="000000" w:themeColor="text1"/>
          <w:sz w:val="20"/>
          <w:szCs w:val="20"/>
        </w:rPr>
      </w:pPr>
      <w:r>
        <w:rPr>
          <w:color w:val="000000" w:themeColor="text1"/>
          <w:sz w:val="20"/>
          <w:szCs w:val="20"/>
        </w:rPr>
        <w:t xml:space="preserve">In the interval between 2-5.4 Ma the </w:t>
      </w:r>
      <w:r w:rsidRPr="005046EB">
        <w:rPr>
          <w:rFonts w:ascii="Symbol" w:hAnsi="Symbol"/>
          <w:color w:val="000000" w:themeColor="text1"/>
          <w:sz w:val="20"/>
          <w:szCs w:val="20"/>
        </w:rPr>
        <w:t></w:t>
      </w:r>
      <w:r w:rsidRPr="005046EB">
        <w:rPr>
          <w:color w:val="000000" w:themeColor="text1"/>
          <w:sz w:val="20"/>
          <w:szCs w:val="20"/>
          <w:vertAlign w:val="superscript"/>
        </w:rPr>
        <w:t>18</w:t>
      </w:r>
      <w:r>
        <w:rPr>
          <w:color w:val="000000" w:themeColor="text1"/>
          <w:sz w:val="20"/>
          <w:szCs w:val="20"/>
        </w:rPr>
        <w:t>O record (</w:t>
      </w:r>
      <w:r w:rsidRPr="005046EB">
        <w:rPr>
          <w:i/>
          <w:color w:val="000000" w:themeColor="text1"/>
          <w:sz w:val="20"/>
          <w:szCs w:val="20"/>
        </w:rPr>
        <w:t>G. sacculifer</w:t>
      </w:r>
      <w:r>
        <w:rPr>
          <w:color w:val="000000" w:themeColor="text1"/>
          <w:sz w:val="20"/>
          <w:szCs w:val="20"/>
        </w:rPr>
        <w:t xml:space="preserve">) of </w:t>
      </w:r>
      <w:r w:rsidRPr="00D302AC">
        <w:rPr>
          <w:color w:val="000000" w:themeColor="text1"/>
          <w:sz w:val="20"/>
          <w:szCs w:val="20"/>
        </w:rPr>
        <w:t>Jansen et al. (1993)</w:t>
      </w:r>
      <w:r>
        <w:rPr>
          <w:color w:val="000000" w:themeColor="text1"/>
          <w:sz w:val="20"/>
          <w:szCs w:val="20"/>
        </w:rPr>
        <w:t xml:space="preserve"> was applied. In that study the MIS 100 event is dated at 2.55 Ma, the MIS event occurs at 2.60 Ma (=top Gauss, see </w:t>
      </w:r>
      <w:r w:rsidRPr="00D302AC">
        <w:rPr>
          <w:color w:val="000000" w:themeColor="text1"/>
          <w:sz w:val="20"/>
          <w:szCs w:val="20"/>
        </w:rPr>
        <w:t>Shackleton et al., 199</w:t>
      </w:r>
      <w:bookmarkStart w:id="0" w:name="_GoBack"/>
      <w:bookmarkEnd w:id="0"/>
      <w:r w:rsidRPr="00D302AC">
        <w:rPr>
          <w:color w:val="000000" w:themeColor="text1"/>
          <w:sz w:val="20"/>
          <w:szCs w:val="20"/>
        </w:rPr>
        <w:t>0</w:t>
      </w:r>
      <w:r>
        <w:rPr>
          <w:color w:val="000000" w:themeColor="text1"/>
          <w:sz w:val="20"/>
          <w:szCs w:val="20"/>
        </w:rPr>
        <w:t xml:space="preserve">), and the MIS 116 event is at 2.85 Ma. </w:t>
      </w:r>
      <w:r w:rsidRPr="00D302AC">
        <w:rPr>
          <w:color w:val="000000" w:themeColor="text1"/>
          <w:sz w:val="20"/>
          <w:szCs w:val="20"/>
          <w:lang w:val="fr-CH"/>
        </w:rPr>
        <w:t xml:space="preserve">They all follow the chronology proposed by Shackleton et al. </w:t>
      </w:r>
      <w:r w:rsidRPr="00D302AC">
        <w:rPr>
          <w:color w:val="000000" w:themeColor="text1"/>
          <w:sz w:val="20"/>
          <w:szCs w:val="20"/>
        </w:rPr>
        <w:t>(1990)</w:t>
      </w:r>
      <w:r>
        <w:rPr>
          <w:color w:val="000000" w:themeColor="text1"/>
          <w:sz w:val="20"/>
          <w:szCs w:val="20"/>
        </w:rPr>
        <w:t xml:space="preserve">, which apply the same magnetochronology later adopted in </w:t>
      </w:r>
      <w:r w:rsidRPr="00D302AC">
        <w:rPr>
          <w:color w:val="000000" w:themeColor="text1"/>
          <w:sz w:val="20"/>
          <w:szCs w:val="20"/>
        </w:rPr>
        <w:t>Cande and Kent (1995)</w:t>
      </w:r>
      <w:r>
        <w:rPr>
          <w:color w:val="000000" w:themeColor="text1"/>
          <w:sz w:val="20"/>
          <w:szCs w:val="20"/>
        </w:rPr>
        <w:t xml:space="preserve">, and which is also the basis in the present study. The depth intervals of the MIS 100, 104 and 116 events are taken from Table 1 in </w:t>
      </w:r>
      <w:r w:rsidRPr="00D302AC">
        <w:rPr>
          <w:color w:val="000000" w:themeColor="text1"/>
          <w:sz w:val="20"/>
          <w:szCs w:val="20"/>
        </w:rPr>
        <w:t>Jansen et al. (1993)</w:t>
      </w:r>
      <w:r>
        <w:rPr>
          <w:color w:val="000000" w:themeColor="text1"/>
          <w:sz w:val="20"/>
          <w:szCs w:val="20"/>
        </w:rPr>
        <w:t xml:space="preserve"> and serve as control points for linear interpolation of ages for the events 101 to 103 and 105 to 115.</w:t>
      </w:r>
      <w:r w:rsidR="00A62BBA">
        <w:rPr>
          <w:color w:val="000000" w:themeColor="text1"/>
          <w:sz w:val="20"/>
          <w:szCs w:val="20"/>
        </w:rPr>
        <w:t xml:space="preserve"> These were visually identified and </w:t>
      </w:r>
      <w:r>
        <w:rPr>
          <w:color w:val="000000" w:themeColor="text1"/>
          <w:sz w:val="20"/>
          <w:szCs w:val="20"/>
        </w:rPr>
        <w:t xml:space="preserve">interpreted by peak-to-peak comparison from the </w:t>
      </w:r>
      <w:r w:rsidRPr="005046EB">
        <w:rPr>
          <w:rFonts w:ascii="Symbol" w:hAnsi="Symbol"/>
          <w:color w:val="000000" w:themeColor="text1"/>
          <w:sz w:val="20"/>
          <w:szCs w:val="20"/>
        </w:rPr>
        <w:t></w:t>
      </w:r>
      <w:r w:rsidRPr="005046EB">
        <w:rPr>
          <w:color w:val="000000" w:themeColor="text1"/>
          <w:sz w:val="20"/>
          <w:szCs w:val="20"/>
          <w:vertAlign w:val="superscript"/>
        </w:rPr>
        <w:t>18</w:t>
      </w:r>
      <w:r w:rsidR="002C7E72">
        <w:rPr>
          <w:color w:val="000000" w:themeColor="text1"/>
          <w:sz w:val="20"/>
          <w:szCs w:val="20"/>
        </w:rPr>
        <w:t>O record at Site 806B (e.g., f</w:t>
      </w:r>
      <w:r>
        <w:rPr>
          <w:color w:val="000000" w:themeColor="text1"/>
          <w:sz w:val="20"/>
          <w:szCs w:val="20"/>
        </w:rPr>
        <w:t xml:space="preserve">igures 1 and 3 in </w:t>
      </w:r>
      <w:r w:rsidRPr="00D302AC">
        <w:rPr>
          <w:color w:val="000000" w:themeColor="text1"/>
          <w:sz w:val="20"/>
          <w:szCs w:val="20"/>
        </w:rPr>
        <w:t>Jansen et al., 1993</w:t>
      </w:r>
      <w:r>
        <w:rPr>
          <w:color w:val="000000" w:themeColor="text1"/>
          <w:sz w:val="20"/>
          <w:szCs w:val="20"/>
        </w:rPr>
        <w:t>). The so determined ages of MIS 100 through 116 events were also included in the isotope templet „O18W88M87temp95“, and which then was used to compose the final integrated biostratigraphy templet „806B fnr</w:t>
      </w:r>
      <w:r w:rsidR="00652B4E">
        <w:rPr>
          <w:color w:val="000000" w:themeColor="text1"/>
          <w:sz w:val="20"/>
          <w:szCs w:val="20"/>
        </w:rPr>
        <w:t>dIM bstrat95“ and to create the</w:t>
      </w:r>
      <w:r>
        <w:rPr>
          <w:color w:val="000000" w:themeColor="text1"/>
          <w:sz w:val="20"/>
          <w:szCs w:val="20"/>
        </w:rPr>
        <w:t xml:space="preserve"> age model „806B fnrdIM loc95 MK_final“ for Hole 806B.</w:t>
      </w:r>
    </w:p>
    <w:sectPr w:rsidR="009708FF" w:rsidSect="00B27579">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0585" w:rsidRDefault="004B0585" w:rsidP="005341A9">
      <w:pPr>
        <w:spacing w:after="0"/>
      </w:pPr>
      <w:r>
        <w:separator/>
      </w:r>
    </w:p>
  </w:endnote>
  <w:endnote w:type="continuationSeparator" w:id="0">
    <w:p w:rsidR="004B0585" w:rsidRDefault="004B0585" w:rsidP="005341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41A9" w:rsidRDefault="005341A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41A9" w:rsidRDefault="005341A9">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41A9" w:rsidRDefault="005341A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0585" w:rsidRDefault="004B0585" w:rsidP="005341A9">
      <w:pPr>
        <w:spacing w:after="0"/>
      </w:pPr>
      <w:r>
        <w:separator/>
      </w:r>
    </w:p>
  </w:footnote>
  <w:footnote w:type="continuationSeparator" w:id="0">
    <w:p w:rsidR="004B0585" w:rsidRDefault="004B0585" w:rsidP="005341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41A9" w:rsidRDefault="005341A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41A9" w:rsidRDefault="005341A9">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41A9" w:rsidRDefault="005341A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26F85"/>
    <w:multiLevelType w:val="multilevel"/>
    <w:tmpl w:val="088418AA"/>
    <w:lvl w:ilvl="0">
      <w:start w:val="2"/>
      <w:numFmt w:val="decimal"/>
      <w:lvlText w:val="%1."/>
      <w:lvlJc w:val="left"/>
      <w:pPr>
        <w:ind w:left="495" w:hanging="495"/>
      </w:pPr>
      <w:rPr>
        <w:rFonts w:hint="default"/>
      </w:rPr>
    </w:lvl>
    <w:lvl w:ilvl="1">
      <w:start w:val="3"/>
      <w:numFmt w:val="decimal"/>
      <w:lvlText w:val="%1.%2."/>
      <w:lvlJc w:val="left"/>
      <w:pPr>
        <w:ind w:left="675" w:hanging="49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CA2423E"/>
    <w:multiLevelType w:val="multilevel"/>
    <w:tmpl w:val="ECC87B04"/>
    <w:lvl w:ilvl="0">
      <w:start w:val="3"/>
      <w:numFmt w:val="decimal"/>
      <w:lvlText w:val="%1."/>
      <w:lvlJc w:val="left"/>
      <w:pPr>
        <w:ind w:left="510" w:hanging="510"/>
      </w:pPr>
      <w:rPr>
        <w:rFonts w:hint="default"/>
      </w:rPr>
    </w:lvl>
    <w:lvl w:ilvl="1">
      <w:start w:val="3"/>
      <w:numFmt w:val="decimal"/>
      <w:lvlText w:val="%1.%2."/>
      <w:lvlJc w:val="left"/>
      <w:pPr>
        <w:ind w:left="690" w:hanging="51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7E9C7B0B"/>
    <w:multiLevelType w:val="multilevel"/>
    <w:tmpl w:val="83E8D9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removePersonalInformation/>
  <w:removeDateAndTime/>
  <w:doNotDisplayPageBoundaries/>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8FF"/>
    <w:rsid w:val="000B623B"/>
    <w:rsid w:val="000F6297"/>
    <w:rsid w:val="00223DB6"/>
    <w:rsid w:val="00266030"/>
    <w:rsid w:val="0029523F"/>
    <w:rsid w:val="002965CA"/>
    <w:rsid w:val="002C7E72"/>
    <w:rsid w:val="00381D04"/>
    <w:rsid w:val="003F43F2"/>
    <w:rsid w:val="00447FA9"/>
    <w:rsid w:val="0045284D"/>
    <w:rsid w:val="004B0585"/>
    <w:rsid w:val="00522EA8"/>
    <w:rsid w:val="005341A9"/>
    <w:rsid w:val="00652B4E"/>
    <w:rsid w:val="006E2D85"/>
    <w:rsid w:val="00791F12"/>
    <w:rsid w:val="009708FF"/>
    <w:rsid w:val="009E6F2D"/>
    <w:rsid w:val="00A22ABF"/>
    <w:rsid w:val="00A62BBA"/>
    <w:rsid w:val="00AF01E1"/>
    <w:rsid w:val="00B27579"/>
    <w:rsid w:val="00C20969"/>
    <w:rsid w:val="00CF480E"/>
    <w:rsid w:val="00D302AC"/>
    <w:rsid w:val="00F25721"/>
    <w:rsid w:val="00F9736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71D9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708FF"/>
    <w:pPr>
      <w:spacing w:after="60" w:line="240" w:lineRule="auto"/>
    </w:pPr>
    <w:rPr>
      <w:rFonts w:ascii="Arial" w:hAnsi="Arial"/>
    </w:rPr>
  </w:style>
  <w:style w:type="paragraph" w:styleId="berschrift1">
    <w:name w:val="heading 1"/>
    <w:basedOn w:val="Standard"/>
    <w:next w:val="Standard"/>
    <w:link w:val="berschrift1Zchn"/>
    <w:uiPriority w:val="9"/>
    <w:qFormat/>
    <w:rsid w:val="002965CA"/>
    <w:pPr>
      <w:keepNext/>
      <w:keepLines/>
      <w:spacing w:before="480" w:after="240"/>
      <w:outlineLvl w:val="0"/>
    </w:pPr>
    <w:rPr>
      <w:rFonts w:eastAsiaTheme="majorEastAsia" w:cstheme="majorBidi"/>
      <w:b/>
      <w:bCs/>
      <w:sz w:val="28"/>
      <w:szCs w:val="28"/>
    </w:rPr>
  </w:style>
  <w:style w:type="paragraph" w:styleId="berschrift2">
    <w:name w:val="heading 2"/>
    <w:basedOn w:val="Standard"/>
    <w:next w:val="Standard"/>
    <w:link w:val="berschrift2Zchn"/>
    <w:uiPriority w:val="9"/>
    <w:unhideWhenUsed/>
    <w:qFormat/>
    <w:rsid w:val="002965CA"/>
    <w:pPr>
      <w:keepNext/>
      <w:keepLines/>
      <w:spacing w:before="200"/>
      <w:outlineLvl w:val="1"/>
    </w:pPr>
    <w:rPr>
      <w:rFonts w:eastAsiaTheme="majorEastAsia" w:cstheme="majorBidi"/>
      <w:b/>
      <w:bCs/>
      <w:sz w:val="26"/>
      <w:szCs w:val="26"/>
    </w:rPr>
  </w:style>
  <w:style w:type="paragraph" w:styleId="berschrift3">
    <w:name w:val="heading 3"/>
    <w:basedOn w:val="Standard"/>
    <w:next w:val="Standard"/>
    <w:link w:val="berschrift3Zchn"/>
    <w:uiPriority w:val="9"/>
    <w:unhideWhenUsed/>
    <w:qFormat/>
    <w:rsid w:val="002965CA"/>
    <w:pPr>
      <w:keepNext/>
      <w:keepLines/>
      <w:spacing w:before="200"/>
      <w:outlineLvl w:val="2"/>
    </w:pPr>
    <w:rPr>
      <w:rFonts w:eastAsiaTheme="majorEastAsia" w:cstheme="majorBidi"/>
      <w:b/>
      <w:bCs/>
    </w:rPr>
  </w:style>
  <w:style w:type="paragraph" w:styleId="berschrift4">
    <w:name w:val="heading 4"/>
    <w:basedOn w:val="Standard"/>
    <w:next w:val="Standard"/>
    <w:link w:val="berschrift4Zchn"/>
    <w:uiPriority w:val="9"/>
    <w:unhideWhenUsed/>
    <w:qFormat/>
    <w:rsid w:val="00223DB6"/>
    <w:pPr>
      <w:keepNext/>
      <w:keepLines/>
      <w:spacing w:before="200"/>
      <w:outlineLvl w:val="3"/>
    </w:pPr>
    <w:rPr>
      <w:rFonts w:eastAsiaTheme="majorEastAsia" w:cstheme="majorBidi"/>
      <w:b/>
      <w:bCs/>
      <w:i/>
      <w:iCs/>
    </w:rPr>
  </w:style>
  <w:style w:type="paragraph" w:styleId="berschrift5">
    <w:name w:val="heading 5"/>
    <w:basedOn w:val="Standard"/>
    <w:next w:val="Standard"/>
    <w:link w:val="berschrift5Zchn"/>
    <w:uiPriority w:val="9"/>
    <w:unhideWhenUsed/>
    <w:rsid w:val="00223DB6"/>
    <w:pPr>
      <w:keepNext/>
      <w:keepLines/>
      <w:spacing w:before="200"/>
      <w:outlineLvl w:val="4"/>
    </w:pPr>
    <w:rPr>
      <w:rFonts w:eastAsiaTheme="majorEastAsia" w:cstheme="majorBidi"/>
      <w:color w:val="243F60" w:themeColor="accent1" w:themeShade="7F"/>
    </w:rPr>
  </w:style>
  <w:style w:type="paragraph" w:styleId="berschrift6">
    <w:name w:val="heading 6"/>
    <w:basedOn w:val="Standard"/>
    <w:next w:val="Standard"/>
    <w:link w:val="berschrift6Zchn"/>
    <w:uiPriority w:val="9"/>
    <w:unhideWhenUsed/>
    <w:rsid w:val="00223DB6"/>
    <w:pPr>
      <w:keepNext/>
      <w:keepLines/>
      <w:spacing w:before="200"/>
      <w:outlineLvl w:val="5"/>
    </w:pPr>
    <w:rPr>
      <w:rFonts w:eastAsiaTheme="majorEastAsia" w:cstheme="majorBidi"/>
      <w:i/>
      <w:iCs/>
      <w:color w:val="243F60" w:themeColor="accent1" w:themeShade="7F"/>
    </w:rPr>
  </w:style>
  <w:style w:type="paragraph" w:styleId="berschrift7">
    <w:name w:val="heading 7"/>
    <w:basedOn w:val="Standard"/>
    <w:next w:val="Standard"/>
    <w:link w:val="berschrift7Zchn"/>
    <w:uiPriority w:val="9"/>
    <w:unhideWhenUsed/>
    <w:rsid w:val="00223DB6"/>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2965CA"/>
    <w:pPr>
      <w:spacing w:after="0" w:line="240" w:lineRule="auto"/>
    </w:pPr>
    <w:rPr>
      <w:rFonts w:ascii="Arial" w:hAnsi="Arial"/>
      <w:sz w:val="20"/>
    </w:rPr>
  </w:style>
  <w:style w:type="character" w:customStyle="1" w:styleId="berschrift1Zchn">
    <w:name w:val="Überschrift 1 Zchn"/>
    <w:basedOn w:val="Absatz-Standardschriftart"/>
    <w:link w:val="berschrift1"/>
    <w:uiPriority w:val="9"/>
    <w:rsid w:val="002965CA"/>
    <w:rPr>
      <w:rFonts w:ascii="Arial" w:eastAsiaTheme="majorEastAsia" w:hAnsi="Arial" w:cstheme="majorBidi"/>
      <w:b/>
      <w:bCs/>
      <w:sz w:val="28"/>
      <w:szCs w:val="28"/>
    </w:rPr>
  </w:style>
  <w:style w:type="character" w:customStyle="1" w:styleId="berschrift2Zchn">
    <w:name w:val="Überschrift 2 Zchn"/>
    <w:basedOn w:val="Absatz-Standardschriftart"/>
    <w:link w:val="berschrift2"/>
    <w:uiPriority w:val="9"/>
    <w:rsid w:val="002965CA"/>
    <w:rPr>
      <w:rFonts w:ascii="Arial" w:eastAsiaTheme="majorEastAsia" w:hAnsi="Arial" w:cstheme="majorBidi"/>
      <w:b/>
      <w:bCs/>
      <w:sz w:val="26"/>
      <w:szCs w:val="26"/>
    </w:rPr>
  </w:style>
  <w:style w:type="character" w:customStyle="1" w:styleId="berschrift3Zchn">
    <w:name w:val="Überschrift 3 Zchn"/>
    <w:basedOn w:val="Absatz-Standardschriftart"/>
    <w:link w:val="berschrift3"/>
    <w:uiPriority w:val="9"/>
    <w:rsid w:val="002965CA"/>
    <w:rPr>
      <w:rFonts w:ascii="Arial" w:eastAsiaTheme="majorEastAsia" w:hAnsi="Arial" w:cstheme="majorBidi"/>
      <w:b/>
      <w:bCs/>
    </w:rPr>
  </w:style>
  <w:style w:type="character" w:customStyle="1" w:styleId="berschrift4Zchn">
    <w:name w:val="Überschrift 4 Zchn"/>
    <w:basedOn w:val="Absatz-Standardschriftart"/>
    <w:link w:val="berschrift4"/>
    <w:uiPriority w:val="9"/>
    <w:rsid w:val="00223DB6"/>
    <w:rPr>
      <w:rFonts w:ascii="Arial" w:eastAsiaTheme="majorEastAsia" w:hAnsi="Arial" w:cstheme="majorBidi"/>
      <w:b/>
      <w:bCs/>
      <w:i/>
      <w:iCs/>
    </w:rPr>
  </w:style>
  <w:style w:type="paragraph" w:styleId="Titel">
    <w:name w:val="Title"/>
    <w:basedOn w:val="Standard"/>
    <w:next w:val="Standard"/>
    <w:link w:val="TitelZchn"/>
    <w:uiPriority w:val="10"/>
    <w:qFormat/>
    <w:rsid w:val="000F6297"/>
    <w:pPr>
      <w:pBdr>
        <w:bottom w:val="single" w:sz="8" w:space="4" w:color="4F81BD" w:themeColor="accent1"/>
      </w:pBdr>
      <w:spacing w:after="300"/>
      <w:contextualSpacing/>
    </w:pPr>
    <w:rPr>
      <w:rFonts w:eastAsiaTheme="majorEastAsia" w:cstheme="majorBidi"/>
      <w:spacing w:val="5"/>
      <w:kern w:val="28"/>
      <w:sz w:val="52"/>
      <w:szCs w:val="52"/>
    </w:rPr>
  </w:style>
  <w:style w:type="character" w:customStyle="1" w:styleId="TitelZchn">
    <w:name w:val="Titel Zchn"/>
    <w:basedOn w:val="Absatz-Standardschriftart"/>
    <w:link w:val="Titel"/>
    <w:uiPriority w:val="10"/>
    <w:rsid w:val="000F6297"/>
    <w:rPr>
      <w:rFonts w:ascii="Arial" w:eastAsiaTheme="majorEastAsia" w:hAnsi="Arial" w:cstheme="majorBidi"/>
      <w:spacing w:val="5"/>
      <w:kern w:val="28"/>
      <w:sz w:val="52"/>
      <w:szCs w:val="52"/>
    </w:rPr>
  </w:style>
  <w:style w:type="paragraph" w:styleId="Untertitel">
    <w:name w:val="Subtitle"/>
    <w:basedOn w:val="Standard"/>
    <w:next w:val="Standard"/>
    <w:link w:val="UntertitelZchn"/>
    <w:uiPriority w:val="11"/>
    <w:qFormat/>
    <w:rsid w:val="00223DB6"/>
    <w:pPr>
      <w:numPr>
        <w:ilvl w:val="1"/>
      </w:numPr>
    </w:pPr>
    <w:rPr>
      <w:rFonts w:eastAsiaTheme="majorEastAsia" w:cstheme="majorBidi"/>
      <w:b/>
      <w:iCs/>
      <w:spacing w:val="15"/>
      <w:sz w:val="24"/>
      <w:szCs w:val="24"/>
    </w:rPr>
  </w:style>
  <w:style w:type="character" w:customStyle="1" w:styleId="UntertitelZchn">
    <w:name w:val="Untertitel Zchn"/>
    <w:basedOn w:val="Absatz-Standardschriftart"/>
    <w:link w:val="Untertitel"/>
    <w:uiPriority w:val="11"/>
    <w:rsid w:val="00223DB6"/>
    <w:rPr>
      <w:rFonts w:ascii="Arial" w:eastAsiaTheme="majorEastAsia" w:hAnsi="Arial" w:cstheme="majorBidi"/>
      <w:b/>
      <w:iCs/>
      <w:spacing w:val="15"/>
      <w:sz w:val="24"/>
      <w:szCs w:val="24"/>
    </w:rPr>
  </w:style>
  <w:style w:type="character" w:styleId="SchwacheHervorhebung">
    <w:name w:val="Subtle Emphasis"/>
    <w:basedOn w:val="Absatz-Standardschriftart"/>
    <w:uiPriority w:val="19"/>
    <w:qFormat/>
    <w:rsid w:val="000F6297"/>
    <w:rPr>
      <w:i/>
      <w:iCs/>
      <w:color w:val="808080" w:themeColor="text1" w:themeTint="7F"/>
    </w:rPr>
  </w:style>
  <w:style w:type="character" w:styleId="Hervorhebung">
    <w:name w:val="Emphasis"/>
    <w:basedOn w:val="Absatz-Standardschriftart"/>
    <w:uiPriority w:val="20"/>
    <w:qFormat/>
    <w:rsid w:val="000F6297"/>
    <w:rPr>
      <w:i/>
      <w:iCs/>
    </w:rPr>
  </w:style>
  <w:style w:type="character" w:styleId="IntensiveHervorhebung">
    <w:name w:val="Intense Emphasis"/>
    <w:basedOn w:val="Absatz-Standardschriftart"/>
    <w:uiPriority w:val="21"/>
    <w:rsid w:val="000F6297"/>
    <w:rPr>
      <w:b/>
      <w:bCs/>
      <w:i/>
      <w:iCs/>
      <w:color w:val="4F81BD" w:themeColor="accent1"/>
    </w:rPr>
  </w:style>
  <w:style w:type="character" w:styleId="Fett">
    <w:name w:val="Strong"/>
    <w:basedOn w:val="Absatz-Standardschriftart"/>
    <w:uiPriority w:val="22"/>
    <w:qFormat/>
    <w:rsid w:val="000F6297"/>
    <w:rPr>
      <w:b/>
      <w:bCs/>
    </w:rPr>
  </w:style>
  <w:style w:type="paragraph" w:styleId="IntensivesZitat">
    <w:name w:val="Intense Quote"/>
    <w:basedOn w:val="Standard"/>
    <w:next w:val="Standard"/>
    <w:link w:val="IntensivesZitatZchn"/>
    <w:uiPriority w:val="30"/>
    <w:rsid w:val="000F6297"/>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0F6297"/>
    <w:rPr>
      <w:rFonts w:ascii="Arial" w:hAnsi="Arial"/>
      <w:b/>
      <w:bCs/>
      <w:i/>
      <w:iCs/>
      <w:color w:val="4F81BD" w:themeColor="accent1"/>
    </w:rPr>
  </w:style>
  <w:style w:type="paragraph" w:styleId="Listenabsatz">
    <w:name w:val="List Paragraph"/>
    <w:basedOn w:val="Standard"/>
    <w:uiPriority w:val="34"/>
    <w:qFormat/>
    <w:rsid w:val="00223DB6"/>
    <w:pPr>
      <w:ind w:left="720"/>
      <w:contextualSpacing/>
    </w:pPr>
  </w:style>
  <w:style w:type="character" w:styleId="Buchtitel">
    <w:name w:val="Book Title"/>
    <w:basedOn w:val="Absatz-Standardschriftart"/>
    <w:uiPriority w:val="33"/>
    <w:rsid w:val="000F6297"/>
    <w:rPr>
      <w:b/>
      <w:bCs/>
      <w:smallCaps/>
      <w:spacing w:val="5"/>
    </w:rPr>
  </w:style>
  <w:style w:type="character" w:customStyle="1" w:styleId="berschrift5Zchn">
    <w:name w:val="Überschrift 5 Zchn"/>
    <w:basedOn w:val="Absatz-Standardschriftart"/>
    <w:link w:val="berschrift5"/>
    <w:uiPriority w:val="9"/>
    <w:rsid w:val="00223DB6"/>
    <w:rPr>
      <w:rFonts w:ascii="Arial" w:eastAsiaTheme="majorEastAsia" w:hAnsi="Arial" w:cstheme="majorBidi"/>
      <w:color w:val="243F60" w:themeColor="accent1" w:themeShade="7F"/>
    </w:rPr>
  </w:style>
  <w:style w:type="character" w:customStyle="1" w:styleId="berschrift6Zchn">
    <w:name w:val="Überschrift 6 Zchn"/>
    <w:basedOn w:val="Absatz-Standardschriftart"/>
    <w:link w:val="berschrift6"/>
    <w:uiPriority w:val="9"/>
    <w:rsid w:val="00223DB6"/>
    <w:rPr>
      <w:rFonts w:ascii="Arial" w:eastAsiaTheme="majorEastAsia" w:hAnsi="Arial" w:cstheme="majorBidi"/>
      <w:i/>
      <w:iCs/>
      <w:color w:val="243F60" w:themeColor="accent1" w:themeShade="7F"/>
    </w:rPr>
  </w:style>
  <w:style w:type="character" w:customStyle="1" w:styleId="berschrift7Zchn">
    <w:name w:val="Überschrift 7 Zchn"/>
    <w:basedOn w:val="Absatz-Standardschriftart"/>
    <w:link w:val="berschrift7"/>
    <w:uiPriority w:val="9"/>
    <w:rsid w:val="00223DB6"/>
    <w:rPr>
      <w:rFonts w:asciiTheme="majorHAnsi" w:eastAsiaTheme="majorEastAsia" w:hAnsiTheme="majorHAnsi" w:cstheme="majorBidi"/>
      <w:i/>
      <w:iCs/>
      <w:color w:val="404040" w:themeColor="text1" w:themeTint="BF"/>
    </w:rPr>
  </w:style>
  <w:style w:type="paragraph" w:styleId="Zitat">
    <w:name w:val="Quote"/>
    <w:basedOn w:val="Standard"/>
    <w:next w:val="Standard"/>
    <w:link w:val="ZitatZchn"/>
    <w:uiPriority w:val="29"/>
    <w:qFormat/>
    <w:rsid w:val="00223DB6"/>
    <w:rPr>
      <w:i/>
      <w:iCs/>
      <w:color w:val="000000" w:themeColor="text1"/>
    </w:rPr>
  </w:style>
  <w:style w:type="character" w:customStyle="1" w:styleId="ZitatZchn">
    <w:name w:val="Zitat Zchn"/>
    <w:basedOn w:val="Absatz-Standardschriftart"/>
    <w:link w:val="Zitat"/>
    <w:uiPriority w:val="29"/>
    <w:rsid w:val="00223DB6"/>
    <w:rPr>
      <w:rFonts w:ascii="Arial" w:hAnsi="Arial"/>
      <w:i/>
      <w:iCs/>
      <w:color w:val="000000" w:themeColor="text1"/>
    </w:rPr>
  </w:style>
  <w:style w:type="paragraph" w:styleId="Kopfzeile">
    <w:name w:val="header"/>
    <w:basedOn w:val="Standard"/>
    <w:link w:val="KopfzeileZchn"/>
    <w:uiPriority w:val="99"/>
    <w:unhideWhenUsed/>
    <w:rsid w:val="005341A9"/>
    <w:pPr>
      <w:tabs>
        <w:tab w:val="center" w:pos="4536"/>
        <w:tab w:val="right" w:pos="9072"/>
      </w:tabs>
      <w:spacing w:after="0"/>
    </w:pPr>
  </w:style>
  <w:style w:type="character" w:customStyle="1" w:styleId="KopfzeileZchn">
    <w:name w:val="Kopfzeile Zchn"/>
    <w:basedOn w:val="Absatz-Standardschriftart"/>
    <w:link w:val="Kopfzeile"/>
    <w:uiPriority w:val="99"/>
    <w:rsid w:val="005341A9"/>
    <w:rPr>
      <w:rFonts w:ascii="Arial" w:hAnsi="Arial"/>
    </w:rPr>
  </w:style>
  <w:style w:type="paragraph" w:styleId="Fuzeile">
    <w:name w:val="footer"/>
    <w:basedOn w:val="Standard"/>
    <w:link w:val="FuzeileZchn"/>
    <w:uiPriority w:val="99"/>
    <w:unhideWhenUsed/>
    <w:rsid w:val="005341A9"/>
    <w:pPr>
      <w:tabs>
        <w:tab w:val="center" w:pos="4536"/>
        <w:tab w:val="right" w:pos="9072"/>
      </w:tabs>
      <w:spacing w:after="0"/>
    </w:pPr>
  </w:style>
  <w:style w:type="character" w:customStyle="1" w:styleId="FuzeileZchn">
    <w:name w:val="Fußzeile Zchn"/>
    <w:basedOn w:val="Absatz-Standardschriftart"/>
    <w:link w:val="Fuzeile"/>
    <w:uiPriority w:val="99"/>
    <w:rsid w:val="005341A9"/>
    <w:rPr>
      <w:rFonts w:ascii="Arial" w:hAnsi="Arial"/>
    </w:rPr>
  </w:style>
  <w:style w:type="character" w:styleId="Zeilennummer">
    <w:name w:val="line number"/>
    <w:basedOn w:val="Absatz-Standardschriftart"/>
    <w:uiPriority w:val="99"/>
    <w:semiHidden/>
    <w:unhideWhenUsed/>
    <w:rsid w:val="00B275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580</Words>
  <Characters>3655</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2020-06-03T07:55:00Z</dcterms:created>
  <dcterms:modified xsi:type="dcterms:W3CDTF">2022-01-05T14:02:00Z</dcterms:modified>
</cp:coreProperties>
</file>