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VC&amp;PE领域学术论文评述</w:t>
      </w:r>
    </w:p>
    <w:p>
      <w:pPr>
        <w:spacing w:after="120" w:before="240"/>
      </w:pPr>
      <w:r>
        <w:rPr>
          <w:b/>
          <w:bCs/>
        </w:rPr>
        <w:t xml:space="preserve">论文题目：</w:t>
      </w:r>
      <w:r>
        <w:t xml:space="preserve">Does Venture Capital Backing Improve Disclosure Controls and Procedures? Evidence from Management's Post-IPO Disclosures</w:t>
      </w:r>
    </w:p>
    <w:p>
      <w:pPr>
        <w:spacing w:after="120"/>
      </w:pPr>
      <w:r>
        <w:rPr>
          <w:b/>
          <w:bCs/>
        </w:rPr>
        <w:t xml:space="preserve">作者：</w:t>
      </w:r>
      <w:r>
        <w:t xml:space="preserve">Douglas Cumming, Lars Helge Hass, Linda A. Myers, Monika Tarsalewska</w:t>
      </w:r>
    </w:p>
    <w:p>
      <w:pPr>
        <w:spacing w:after="120"/>
      </w:pPr>
      <w:r>
        <w:rPr>
          <w:b/>
          <w:bCs/>
        </w:rPr>
        <w:t xml:space="preserve">期刊：</w:t>
      </w:r>
      <w:r>
        <w:t xml:space="preserve">Journal of Business Ethics, 2023, Vol.187(3), pp.539-563</w:t>
      </w:r>
    </w:p>
    <w:p>
      <w:pPr>
        <w:spacing w:after="120"/>
      </w:pPr>
      <w:r>
        <w:rPr>
          <w:b/>
          <w:bCs/>
        </w:rPr>
        <w:t xml:space="preserve">DOI：</w:t>
      </w:r>
      <w:r>
        <w:t xml:space="preserve">10.1007/s10551-022-05272-1</w:t>
      </w:r>
    </w:p>
    <w:p>
      <w:pPr>
        <w:spacing w:after="240"/>
      </w:pPr>
      <w:r>
        <w:rPr>
          <w:b/>
          <w:bCs/>
        </w:rPr>
        <w:t xml:space="preserve">评述人：</w:t>
      </w:r>
      <w:r>
        <w:t xml:space="preserve">赵秉清</w:t>
      </w:r>
    </w:p>
    <w:p>
      <w:pPr>
        <w:pStyle w:val="Heading2"/>
      </w:pPr>
      <w:r>
        <w:rPr>
          <w:b/>
          <w:bCs/>
        </w:rPr>
        <w:t xml:space="preserve">一、论文来源</w:t>
      </w:r>
    </w:p>
    <w:p>
      <w:pPr>
        <w:spacing w:after="120" w:line="360"/>
        <w:ind w:firstLine="480"/>
      </w:pPr>
      <w:r>
        <w:t xml:space="preserve">本文通过Springer Link数据库检索获得，同时可在SSRN（Social Science Research Network）上获取工作论文版本（SSRN Abstract ID: 2640873）。检索关键词为"venture capital" AND "disclosure controls" AND "IPO"，限定学科领域为Business Ethics与Finance。该论文发表于Journal of Business Ethics，这是商业伦理领域的顶级SSCI期刊（影响因子约5.5），由Springer出版。</w:t>
      </w:r>
    </w:p>
    <w:p>
      <w:pPr>
        <w:pStyle w:val="Heading2"/>
      </w:pPr>
      <w:r>
        <w:rPr>
          <w:b/>
          <w:bCs/>
        </w:rPr>
        <w:t xml:space="preserve">二、选择理由</w:t>
      </w:r>
    </w:p>
    <w:p>
      <w:pPr>
        <w:spacing w:after="120" w:line="360"/>
        <w:ind w:firstLine="480"/>
      </w:pPr>
      <w:r>
        <w:t xml:space="preserve">选择本文基于以下考虑：第一，研究主题与我们实验室的项目高度相关。我们正在从IPO招股书中提取PE/VC融资事件数据，而本文研究的正是风险投资（VC）支持如何影响企业IPO后的信息披露质量，这为我们理解VC/PE在IPO过程中的角色提供了理论视角。第二，本文发表于2023年，属于较新的研究成果，反映了VC/PE领域的前沿研究方向。第三，作者Douglas Cumming是创业金融领域的知名学者，在VC/PE研究方面有深厚积累。第四，本文的研究方法（实证分析）和数据使用方式对我们后续的数据处理工作有参考价值。</w:t>
      </w:r>
    </w:p>
    <w:p>
      <w:pPr>
        <w:pStyle w:val="Heading2"/>
      </w:pPr>
      <w:r>
        <w:rPr>
          <w:b/>
          <w:bCs/>
        </w:rPr>
        <w:t xml:space="preserve">三、论文评述</w:t>
      </w:r>
    </w:p>
    <w:p>
      <w:pPr>
        <w:spacing w:after="120" w:before="200"/>
      </w:pPr>
      <w:r>
        <w:rPr>
          <w:b/>
          <w:bCs/>
        </w:rPr>
        <w:t xml:space="preserve">（一）研究问题</w:t>
      </w:r>
    </w:p>
    <w:p>
      <w:pPr>
        <w:spacing w:after="120" w:line="360"/>
        <w:ind w:firstLine="480"/>
      </w:pPr>
      <w:r>
        <w:t xml:space="preserve">本文的核心研究问题是：风险投资（Venture Capital）支持是否能够改善企业IPO后的信息披露控制与程序（Disclosure Controls and Procedures, DCP）？具体而言，作者试图回答两个子问题：（1）VC支持的企业在IPO后是否报告更少的内部控制缺陷（material weaknesses）？（2）VC支持企业的控制信息披露是否具有更高的信息含量，即能否更有效地预警未来的财务报表重述（restatement）事件？</w:t>
      </w:r>
    </w:p>
    <w:p>
      <w:pPr>
        <w:spacing w:after="120" w:line="360"/>
        <w:ind w:firstLine="480"/>
      </w:pPr>
      <w:r>
        <w:t xml:space="preserve">这一问题的理论背景源于信息不对称理论和认证假说（certification hypothesis）。VC作为专业机构投资者，在IPO前对企业进行尽职调查和持续监督，理论上应当能够提升企业的治理水平和信息披露质量。但这一效应在IPO后是否持续存在，此前文献尚未充分探讨。</w:t>
      </w:r>
    </w:p>
    <w:p>
      <w:pPr>
        <w:spacing w:after="120" w:before="200"/>
      </w:pPr>
      <w:r>
        <w:rPr>
          <w:b/>
          <w:bCs/>
        </w:rPr>
        <w:t xml:space="preserve">（二）研究方法</w:t>
      </w:r>
    </w:p>
    <w:p>
      <w:pPr>
        <w:spacing w:after="120" w:line="360"/>
        <w:ind w:firstLine="480"/>
      </w:pPr>
      <w:r>
        <w:t xml:space="preserve">本文采用实证研究方法，主要分析框架如下：</w:t>
      </w:r>
    </w:p>
    <w:p>
      <w:pPr>
        <w:spacing w:after="120" w:line="360"/>
        <w:ind w:firstLine="480"/>
      </w:pPr>
      <w:r>
        <w:t xml:space="preserve">第一，样本构建。作者选取美国IPO企业为研究样本，将其分为VC支持（VC-backed）和非VC支持（non-VC-backed）两组，进行对比分析。</w:t>
      </w:r>
    </w:p>
    <w:p>
      <w:pPr>
        <w:spacing w:after="120" w:line="360"/>
        <w:ind w:firstLine="480"/>
      </w:pPr>
      <w:r>
        <w:t xml:space="preserve">第二，数据来源与变量设计。研究使用《萨班斯-奥克斯利法案》（SOX）第302条款要求的管理层披露控制评估报告作为数据来源。该条款要求上市公司CEO和CFO在每份定期报告（10-K、10-Q）中对公司披露控制的有效性进行评估并签署确认。作者从这些披露中提取内部控制缺陷信息，特别是"重大缺陷"（material weakness）的报告情况。</w:t>
      </w:r>
    </w:p>
    <w:p>
      <w:pPr>
        <w:spacing w:after="120" w:line="360"/>
        <w:ind w:firstLine="480"/>
      </w:pPr>
      <w:r>
        <w:t xml:space="preserve">第三，实证模型。作者运用Logistic回归模型，以是否存在内部控制重大缺陷为因变量，以VC支持为关键自变量，同时控制企业规模、年龄、行业、年份、审计师类型等因素。此外，还检验了VC支持企业的控制披露是否能预测后续的财务报表重述事件。</w:t>
      </w:r>
    </w:p>
    <w:p>
      <w:pPr>
        <w:spacing w:after="120" w:line="360"/>
        <w:ind w:firstLine="480"/>
      </w:pPr>
      <w:r>
        <w:t xml:space="preserve">第四，稳健性检验。为缓解内生性问题（如VC倾向于选择本身治理较好的企业），作者采用了倾向得分匹配（PSM）、Heckman两阶段选择模型等方法进行稳健性检验。</w:t>
      </w:r>
    </w:p>
    <w:p>
      <w:pPr>
        <w:spacing w:after="120" w:before="200"/>
      </w:pPr>
      <w:r>
        <w:rPr>
          <w:b/>
          <w:bCs/>
        </w:rPr>
        <w:t xml:space="preserve">（三）使用的数据</w:t>
      </w:r>
    </w:p>
    <w:p>
      <w:pPr>
        <w:spacing w:after="120" w:line="360"/>
        <w:ind w:firstLine="480"/>
      </w:pPr>
      <w:r>
        <w:t xml:space="preserve">本文使用的数据主要包括：（1）IPO数据：来自Thomson Reuters SDC Platinum数据库，涵盖美国股票市场（NYSE、NASDAQ、AMEX）的IPO企业；（2）VC支持信息：来自VentureXpert数据库，用于识别哪些IPO企业获得了风险投资支持；（3）内部控制披露数据：来自Audit Analytics数据库，收录了SOX 302条款下管理层对披露控制的评估结果及重大缺陷报告；（4）财务重述数据：同样来自Audit Analytics，记录企业后续的财务报表重述事件；（5）财务数据：来自Compustat数据库，用于构建控制变量（企业规模、杠杆率、盈利能力等）。样本期间大约覆盖2003年至2018年（SOX法案实施后的时期）。</w:t>
      </w:r>
    </w:p>
    <w:p>
      <w:pPr>
        <w:spacing w:after="120" w:before="200"/>
      </w:pPr>
      <w:r>
        <w:rPr>
          <w:b/>
          <w:bCs/>
        </w:rPr>
        <w:t xml:space="preserve">（四）主要结论</w:t>
      </w:r>
    </w:p>
    <w:p>
      <w:pPr>
        <w:spacing w:after="120" w:line="360"/>
        <w:ind w:firstLine="480"/>
      </w:pPr>
      <w:r>
        <w:t xml:space="preserve">本文得出以下主要结论：</w:t>
      </w:r>
    </w:p>
    <w:p>
      <w:pPr>
        <w:spacing w:after="120" w:line="360"/>
        <w:ind w:firstLine="480"/>
      </w:pPr>
      <w:r>
        <w:t xml:space="preserve">第一，VC支持的企业在IPO后报告更少的内部控制重大缺陷（material weaknesses）。这表明VC的监督和治理作用在IPO后仍然持续存在，并非仅限于IPO前的准备阶段。</w:t>
      </w:r>
    </w:p>
    <w:p>
      <w:pPr>
        <w:spacing w:after="120" w:line="360"/>
        <w:ind w:firstLine="480"/>
      </w:pPr>
      <w:r>
        <w:t xml:space="preserve">第二，VC支持企业的控制信息披露具有更高的信息含量。具体表现为：当VC支持企业报告控制缺陷时，这些披露更能有效预警后续的财务报表重述事件，说明其披露更加真实、及时和有用。</w:t>
      </w:r>
    </w:p>
    <w:p>
      <w:pPr>
        <w:spacing w:after="120" w:line="360"/>
        <w:ind w:firstLine="480"/>
      </w:pPr>
      <w:r>
        <w:t xml:space="preserve">第三，上述结论在多种稳健性检验后依然成立，包括倾向得分匹配、工具变量法、Heckman选择模型等，排除了自选择偏差的替代解释。</w:t>
      </w:r>
    </w:p>
    <w:p>
      <w:pPr>
        <w:spacing w:after="120" w:line="360"/>
        <w:ind w:firstLine="480"/>
      </w:pPr>
      <w:r>
        <w:t xml:space="preserve">总体而言，本文支持了VC的"监督假说"（monitoring hypothesis）和"认证假说"（certification hypothesis），即VC不仅通过筛选优质企业发挥认证作用，还通过持续的治理参与实质性地改善了企业的信息披露质量。</w:t>
      </w:r>
    </w:p>
    <w:p>
      <w:pPr>
        <w:spacing w:after="120" w:before="200"/>
      </w:pPr>
      <w:r>
        <w:rPr>
          <w:b/>
          <w:bCs/>
        </w:rPr>
        <w:t xml:space="preserve">（五）创新之处</w:t>
      </w:r>
    </w:p>
    <w:p>
      <w:pPr>
        <w:spacing w:after="120" w:line="360"/>
        <w:ind w:firstLine="480"/>
      </w:pPr>
      <w:r>
        <w:t xml:space="preserve">本文的创新主要体现在以下方面：</w:t>
      </w:r>
    </w:p>
    <w:p>
      <w:pPr>
        <w:spacing w:after="120" w:line="360"/>
        <w:ind w:firstLine="480"/>
      </w:pPr>
      <w:r>
        <w:t xml:space="preserve">第一，研究视角新颖。此前关于VC与IPO的研究主要关注IPO抑价（underpricing）和长期股票表现，而本文首次将研究视角延伸到IPO后的信息披露控制质量，填补了文献空白。</w:t>
      </w:r>
    </w:p>
    <w:p>
      <w:pPr>
        <w:spacing w:after="120" w:line="360"/>
        <w:ind w:firstLine="480"/>
      </w:pPr>
      <w:r>
        <w:t xml:space="preserve">第二，数据使用独特。利用SOX 302条款的管理层披露评估这一独特的制度背景和数据源，为研究VC的治理效应提供了新的度量方式，避免了传统研究中依赖股价或会计指标的局限。</w:t>
      </w:r>
    </w:p>
    <w:p>
      <w:pPr>
        <w:spacing w:after="120" w:line="360"/>
        <w:ind w:firstLine="480"/>
      </w:pPr>
      <w:r>
        <w:t xml:space="preserve">第三，区分了"认证效应"与"监督效应"。通过检验控制披露的信息含量（而非仅仅看缺陷数量），本文能够区分VC是通过"选择好企业"（认证）还是"让企业变好"（监督）来发挥作用，深化了对VC价值创造机制的理解。</w:t>
      </w:r>
    </w:p>
    <w:p>
      <w:pPr>
        <w:spacing w:after="120" w:line="360"/>
        <w:ind w:firstLine="480"/>
      </w:pPr>
      <w:r>
        <w:t xml:space="preserve">第四，政策含义明确。研究结论对监管层理解VC在资本市场中的治理角色、对投资者评估VC支持企业的信息质量都具有直接的实践指导意义。</w:t>
      </w:r>
    </w:p>
    <w:p>
      <w:pPr>
        <w:spacing w:after="120" w:before="200"/>
      </w:pPr>
      <w:r>
        <w:rPr>
          <w:b/>
          <w:bCs/>
        </w:rPr>
        <w:t xml:space="preserve">（六）不足之处</w:t>
      </w:r>
    </w:p>
    <w:p>
      <w:pPr>
        <w:spacing w:after="120" w:line="360"/>
        <w:ind w:firstLine="480"/>
      </w:pPr>
      <w:r>
        <w:t xml:space="preserve">尽管本文具有上述贡献，仍存在以下局限：</w:t>
      </w:r>
    </w:p>
    <w:p>
      <w:pPr>
        <w:spacing w:after="120" w:line="360"/>
        <w:ind w:firstLine="480"/>
      </w:pPr>
      <w:r>
        <w:t xml:space="preserve">第一，地域局限性。研究样本仅限于美国市场，其结论能否推广到其他资本市场（如中国A股、港股等）尚不确定。不同市场的VC/PE发展程度、监管环境和信息披露制度存在显著差异，特别是中国市场的VC/PE行业具有政府引导基金占比高、Pre-IPO投资普遍等独特特征。</w:t>
      </w:r>
    </w:p>
    <w:p>
      <w:pPr>
        <w:spacing w:after="120" w:line="360"/>
        <w:ind w:firstLine="480"/>
      </w:pPr>
      <w:r>
        <w:t xml:space="preserve">第二，VC异质性未充分探讨。本文将VC支持视为一个整体变量，但不同类型VC（如独立VC与企业VC、早期VC与后期VC、本土VC与外资VC）的治理能力和动机可能存在显著差异，对信息披露质量的影响也可能不同。</w:t>
      </w:r>
    </w:p>
    <w:p>
      <w:pPr>
        <w:spacing w:after="120" w:line="360"/>
        <w:ind w:firstLine="480"/>
      </w:pPr>
      <w:r>
        <w:t xml:space="preserve">第三，因果识别仍有挑战。尽管使用了多种稳健性方法，但VC支持本身是内生的（VC选择投资哪些企业），完全排除自选择偏差仍然困难。工具变量的外生性假设也可能受到质疑。</w:t>
      </w:r>
    </w:p>
    <w:p>
      <w:pPr>
        <w:spacing w:after="120" w:line="360"/>
        <w:ind w:firstLine="480"/>
      </w:pPr>
      <w:r>
        <w:t xml:space="preserve">第四，未考虑VC退出后的效应衰减。VC通常在IPO后有锁定期限制，锁定期结束后VC可能退出。本文未充分探讨VC退出后其治理效应是否持续，这对于理解VC的长期价值创造具有重要意义。</w:t>
      </w:r>
    </w:p>
    <w:p>
      <w:pPr>
        <w:spacing w:after="120" w:line="360"/>
        <w:ind w:firstLine="480"/>
      </w:pPr>
      <w:r>
        <w:t xml:space="preserve">第五，对PE（私募股权）的关注不足。本文主要聚焦于VC，对PE支持企业的分析相对有限。考虑到PE投资（尤其是Pre-IPO阶段的PE投资）在中国市场的重要性，这一局限值得后续研究补充。</w:t>
      </w:r>
    </w:p>
    <w:p>
      <w:pPr>
        <w:pStyle w:val="Heading2"/>
      </w:pPr>
      <w:r>
        <w:rPr>
          <w:b/>
          <w:bCs/>
        </w:rPr>
        <w:t xml:space="preserve">四、总结与启示</w:t>
      </w:r>
    </w:p>
    <w:p>
      <w:pPr>
        <w:spacing w:after="120" w:line="360"/>
        <w:ind w:firstLine="480"/>
      </w:pPr>
      <w:r>
        <w:t xml:space="preserve">本文从信息披露控制的角度为VC的治理价值提供了新的经验证据，丰富了VC/PE与IPO交叉领域的文献。对于我们实验室的项目而言，本文的启示在于：招股书中披露的融资事件信息（如投资人类型、投资轮次、估值等）不仅是历史事实的记录，更可能反映了VC/PE对企业治理和信息披露质量的实质性影响。在后续的数据提取和分析中，我们可以进一步关注VC/PE投资人的特征变量，探索其与企业IPO后表现之间的关系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eastAsia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eastAsia="Microsoft Ya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2026-07-24T07:37:30.294Z</dcterms:created>
  <dcterms:modified xsi:type="dcterms:W3CDTF">2026-07-24T07:37:30.298Z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