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uppressAutoHyphens w:val="true"/>
              <w:spacing w:before="0" w:after="0"/>
              <w:contextualSpacing/>
              <w:jc w:val="center"/>
              <w:rPr>
                <w:sz w:val="32"/>
                <w:szCs w:val="32"/>
              </w:rPr>
            </w:pPr>
            <w:r>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uppressAutoHyphens w:val="true"/>
              <w:spacing w:before="0" w:after="0"/>
              <w:jc w:val="center"/>
              <w:rPr>
                <w:smallCaps/>
                <w:sz w:val="40"/>
                <w:szCs w:val="40"/>
              </w:rPr>
            </w:pPr>
            <w:r>
              <w:rPr>
                <w:rFonts w:eastAsia="MS Mincho" w:cs="Times New Roman"/>
                <w:smallCaps/>
                <w:kern w:val="0"/>
                <w:sz w:val="40"/>
                <w:szCs w:val="40"/>
                <w:lang w:val="en-US" w:eastAsia="en-US" w:bidi="en-US"/>
              </w:rPr>
              <w:t>Институт за математику и информатику</w:t>
            </w:r>
          </w:p>
          <w:p>
            <w:pPr>
              <w:pStyle w:val="Normal"/>
              <w:keepNext w:val="true"/>
              <w:widowControl/>
              <w:suppressAutoHyphens w:val="true"/>
              <w:spacing w:before="0" w:after="0"/>
              <w:jc w:val="center"/>
              <w:rPr>
                <w:smallCaps/>
                <w:sz w:val="40"/>
                <w:szCs w:val="40"/>
              </w:rPr>
            </w:pPr>
            <w:r>
              <w:rPr>
                <w:rFonts w:eastAsia="MS Mincho" w:cs="Times New Roman"/>
                <w:smallCaps/>
                <w:kern w:val="0"/>
                <w:sz w:val="40"/>
                <w:szCs w:val="40"/>
                <w:lang w:val="en-US" w:eastAsia="en-US" w:bidi="en-US"/>
              </w:rPr>
              <w:t>Природно-математички факултет</w:t>
            </w:r>
          </w:p>
          <w:p>
            <w:pPr>
              <w:pStyle w:val="Normal"/>
              <w:keepNext w:val="true"/>
              <w:widowControl/>
              <w:suppressAutoHyphens w:val="true"/>
              <w:spacing w:before="0" w:after="0"/>
              <w:jc w:val="center"/>
              <w:rPr>
                <w:smallCaps/>
                <w:sz w:val="40"/>
                <w:szCs w:val="40"/>
              </w:rPr>
            </w:pPr>
            <w:r>
              <w:rPr>
                <w:rFonts w:eastAsia="MS Mincho" w:cs="Times New Roman"/>
                <w:smallCaps/>
                <w:kern w:val="0"/>
                <w:sz w:val="40"/>
                <w:szCs w:val="40"/>
                <w:lang w:val="en-U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uppressAutoHyphens w:val="true"/>
              <w:spacing w:before="0" w:after="0"/>
              <w:jc w:val="center"/>
              <w:rPr>
                <w:smallCaps/>
                <w:sz w:val="36"/>
                <w:szCs w:val="36"/>
              </w:rPr>
            </w:pPr>
            <w:r>
              <w:rPr>
                <w:rFonts w:eastAsia="MS Mincho" w:cs="Times New Roman"/>
                <w:smallCaps/>
                <w:kern w:val="0"/>
                <w:sz w:val="36"/>
                <w:szCs w:val="36"/>
                <w:lang w:val="en-US" w:eastAsia="en-US" w:bidi="en-US"/>
              </w:rPr>
              <w:t>Дипломски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uppressAutoHyphens w:val="true"/>
              <w:spacing w:before="0" w:after="0"/>
              <w:jc w:val="center"/>
              <w:rPr>
                <w:b/>
                <w:smallCaps/>
                <w:sz w:val="48"/>
                <w:szCs w:val="48"/>
              </w:rPr>
            </w:pPr>
            <w:r>
              <w:rPr>
                <w:rFonts w:eastAsia="MS Mincho" w:cs="Times New Roman"/>
                <w:b/>
                <w:smallCaps/>
                <w:kern w:val="0"/>
                <w:sz w:val="48"/>
                <w:szCs w:val="48"/>
                <w:lang w:val="en-US" w:eastAsia="en-US" w:bidi="en-US"/>
              </w:rPr>
              <w:t xml:space="preserve">Анализа фактора који утичу на опредељење ученика </w:t>
            </w:r>
            <w:r>
              <w:rPr>
                <w:rFonts w:eastAsia="MS Mincho" w:cs="Times New Roman"/>
                <w:b/>
                <w:smallCaps/>
                <w:kern w:val="0"/>
                <w:sz w:val="48"/>
                <w:szCs w:val="48"/>
                <w:lang w:val="sr-RS" w:eastAsia="en-US" w:bidi="en-US"/>
              </w:rPr>
              <w:t xml:space="preserve">за </w:t>
            </w:r>
            <w:r>
              <w:rPr>
                <w:rFonts w:eastAsia="MS Mincho" w:cs="Times New Roman"/>
                <w:b/>
                <w:smallCaps/>
                <w:kern w:val="0"/>
                <w:sz w:val="48"/>
                <w:szCs w:val="48"/>
                <w:lang w:val="en-US" w:eastAsia="en-US" w:bidi="en-US"/>
              </w:rPr>
              <w:t>СТЕМ применом метода машинског учења</w:t>
            </w:r>
          </w:p>
        </w:tc>
      </w:tr>
      <w:tr>
        <w:trPr>
          <w:trHeight w:val="5001"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uppressAutoHyphens w:val="true"/>
              <w:spacing w:before="0" w:after="0"/>
              <w:contextualSpacing/>
              <w:jc w:val="left"/>
              <w:rPr>
                <w:b/>
                <w:sz w:val="28"/>
                <w:szCs w:val="28"/>
              </w:rPr>
            </w:pPr>
            <w:r>
              <w:rPr>
                <w:rFonts w:eastAsia="MS Mincho" w:cs="Times New Roman"/>
                <w:b/>
                <w:kern w:val="0"/>
                <w:sz w:val="28"/>
                <w:szCs w:val="28"/>
                <w:lang w:val="en-US" w:eastAsia="en-US" w:bidi="en-US"/>
              </w:rPr>
              <w:t>Ментор и професор</w:t>
              <w:tab/>
              <w:t>Студент</w:t>
            </w:r>
          </w:p>
          <w:p>
            <w:pPr>
              <w:pStyle w:val="Normal"/>
              <w:keepNext w:val="true"/>
              <w:widowControl/>
              <w:tabs>
                <w:tab w:val="clear" w:pos="720"/>
                <w:tab w:val="left" w:pos="5670" w:leader="none"/>
              </w:tabs>
              <w:suppressAutoHyphens w:val="true"/>
              <w:spacing w:before="0" w:after="0"/>
              <w:contextualSpacing/>
              <w:jc w:val="left"/>
              <w:rPr>
                <w:b/>
                <w:sz w:val="32"/>
                <w:szCs w:val="32"/>
              </w:rPr>
            </w:pPr>
            <w:r>
              <w:rPr>
                <w:rFonts w:eastAsia="MS Mincho" w:cs="Times New Roman"/>
                <w:b/>
                <w:kern w:val="0"/>
                <w:sz w:val="32"/>
                <w:szCs w:val="32"/>
                <w:lang w:val="en-US" w:eastAsia="en-US" w:bidi="en-US"/>
              </w:rPr>
              <w:t>Марина Свичевић</w:t>
              <w:tab/>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uppressAutoHyphens w:val="true"/>
              <w:spacing w:before="0" w:after="0"/>
              <w:contextualSpacing/>
              <w:jc w:val="center"/>
              <w:rPr>
                <w:sz w:val="28"/>
                <w:szCs w:val="32"/>
              </w:rPr>
            </w:pPr>
            <w:r>
              <w:rPr>
                <w:rFonts w:eastAsia="MS Mincho" w:cs="Times New Roman"/>
                <w:kern w:val="0"/>
                <w:sz w:val="28"/>
                <w:szCs w:val="32"/>
                <w:lang w:val="en-US" w:eastAsia="en-US" w:bidi="en-US"/>
              </w:rPr>
              <w:t>Maj 2026.</w:t>
            </w:r>
          </w:p>
        </w:tc>
      </w:tr>
    </w:tbl>
    <w:p>
      <w:pPr>
        <w:pStyle w:val="Normal"/>
        <w:spacing w:before="0" w:after="840"/>
        <w:rPr>
          <w:rFonts w:ascii="Cambria" w:hAnsi="Cambria" w:asciiTheme="majorHAnsi" w:hAnsiTheme="majorHAnsi"/>
          <w:b/>
          <w:sz w:val="32"/>
          <w:szCs w:val="32"/>
        </w:rPr>
      </w:pPr>
      <w:r>
        <w:rPr>
          <w:rFonts w:ascii="Cambria" w:hAnsi="Cambria" w:asciiTheme="majorHAnsi" w:hAnsiTheme="majorHAnsi"/>
          <w:b/>
          <w:sz w:val="32"/>
          <w:szCs w:val="32"/>
        </w:rPr>
        <w:t>Садржај</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1. Увод</w:t>
          </w:r>
          <w:r>
            <w:rPr>
              <w:vanish w:val="false"/>
            </w:rPr>
            <w:tab/>
            <w:t>5</w:t>
          </w:r>
        </w:p>
        <w:p>
          <w:pPr>
            <w:pStyle w:val="TOC2"/>
            <w:tabs>
              <w:tab w:val="clear" w:pos="720"/>
              <w:tab w:val="right" w:pos="9025" w:leader="dot"/>
            </w:tabs>
            <w:rPr/>
          </w:pPr>
          <w:r>
            <w:rPr>
              <w:vanish w:val="false"/>
            </w:rPr>
            <w:t>1.1. Мотивација истраживања</w:t>
            <w:tab/>
            <w:t>5</w:t>
          </w:r>
        </w:p>
        <w:p>
          <w:pPr>
            <w:pStyle w:val="TOC2"/>
            <w:tabs>
              <w:tab w:val="clear" w:pos="720"/>
              <w:tab w:val="right" w:pos="9025" w:leader="dot"/>
            </w:tabs>
            <w:rPr/>
          </w:pPr>
          <w:r>
            <w:rPr>
              <w:vanish w:val="false"/>
            </w:rPr>
            <w:t>1.2. Проблем истраживања</w:t>
            <w:tab/>
            <w:t>5</w:t>
          </w:r>
        </w:p>
        <w:p>
          <w:pPr>
            <w:pStyle w:val="TOC2"/>
            <w:tabs>
              <w:tab w:val="clear" w:pos="720"/>
              <w:tab w:val="right" w:pos="9025" w:leader="dot"/>
            </w:tabs>
            <w:rPr/>
          </w:pPr>
          <w:r>
            <w:rPr>
              <w:vanish w:val="false"/>
            </w:rPr>
            <w:t>1.3. Циљ рада</w:t>
            <w:tab/>
            <w:t>5</w:t>
          </w:r>
        </w:p>
        <w:p>
          <w:pPr>
            <w:pStyle w:val="TOC2"/>
            <w:tabs>
              <w:tab w:val="clear" w:pos="720"/>
              <w:tab w:val="right" w:pos="9025" w:leader="dot"/>
            </w:tabs>
            <w:rPr/>
          </w:pPr>
          <w:r>
            <w:rPr>
              <w:vanish w:val="false"/>
            </w:rPr>
            <w:t>1.4. Истраживачка питања и хипотезе</w:t>
            <w:tab/>
            <w:t>6</w:t>
          </w:r>
        </w:p>
        <w:p>
          <w:pPr>
            <w:pStyle w:val="TOC2"/>
            <w:tabs>
              <w:tab w:val="clear" w:pos="720"/>
              <w:tab w:val="right" w:pos="9025" w:leader="dot"/>
            </w:tabs>
            <w:rPr/>
          </w:pPr>
          <w:r>
            <w:rPr>
              <w:vanish w:val="false"/>
            </w:rPr>
            <w:t>1.5. Структура рада</w:t>
            <w:tab/>
            <w:t>6</w:t>
          </w:r>
        </w:p>
        <w:p>
          <w:pPr>
            <w:pStyle w:val="TOC1"/>
            <w:tabs>
              <w:tab w:val="clear" w:pos="720"/>
              <w:tab w:val="right" w:pos="9025" w:leader="dot"/>
            </w:tabs>
            <w:rPr/>
          </w:pPr>
          <w:r>
            <w:rPr>
              <w:vanish w:val="false"/>
            </w:rPr>
            <w:t>2. Теоријски оквир</w:t>
            <w:tab/>
            <w:t>7</w:t>
          </w:r>
        </w:p>
        <w:p>
          <w:pPr>
            <w:pStyle w:val="TOC2"/>
            <w:tabs>
              <w:tab w:val="clear" w:pos="720"/>
              <w:tab w:val="right" w:pos="9025" w:leader="dot"/>
            </w:tabs>
            <w:rPr/>
          </w:pPr>
          <w:r>
            <w:rPr>
              <w:vanish w:val="false"/>
            </w:rPr>
            <w:t>2.1. Фактори који утичу на СТЕМ опредељење ученика</w:t>
            <w:tab/>
            <w:t>7</w:t>
          </w:r>
        </w:p>
        <w:p>
          <w:pPr>
            <w:pStyle w:val="TOC2"/>
            <w:tabs>
              <w:tab w:val="clear" w:pos="720"/>
              <w:tab w:val="right" w:pos="9025" w:leader="dot"/>
            </w:tabs>
            <w:rPr/>
          </w:pPr>
          <w:r>
            <w:rPr>
              <w:vanish w:val="false"/>
            </w:rPr>
            <w:t>2.2. Машинско учење у образовној аналитици</w:t>
            <w:tab/>
            <w:t>8</w:t>
          </w:r>
        </w:p>
        <w:p>
          <w:pPr>
            <w:pStyle w:val="TOC2"/>
            <w:tabs>
              <w:tab w:val="clear" w:pos="720"/>
              <w:tab w:val="right" w:pos="9025" w:leader="dot"/>
            </w:tabs>
            <w:rPr/>
          </w:pPr>
          <w:r>
            <w:rPr>
              <w:vanish w:val="false"/>
            </w:rPr>
            <w:t>2.3. Алгоритми машинског учења коришћени у раду</w:t>
            <w:tab/>
            <w:t>9</w:t>
          </w:r>
        </w:p>
        <w:p>
          <w:pPr>
            <w:pStyle w:val="TOC3"/>
            <w:tabs>
              <w:tab w:val="clear" w:pos="720"/>
              <w:tab w:val="right" w:pos="9025" w:leader="dot"/>
            </w:tabs>
            <w:rPr/>
          </w:pPr>
          <w:r>
            <w:rPr>
              <w:vanish w:val="false"/>
            </w:rPr>
            <w:t>2.3.1. Логистичка регресија</w:t>
            <w:tab/>
            <w:t>9</w:t>
          </w:r>
        </w:p>
        <w:p>
          <w:pPr>
            <w:pStyle w:val="TOC3"/>
            <w:tabs>
              <w:tab w:val="clear" w:pos="720"/>
              <w:tab w:val="right" w:pos="9025" w:leader="dot"/>
            </w:tabs>
            <w:rPr/>
          </w:pPr>
          <w:r>
            <w:rPr>
              <w:vanish w:val="false"/>
            </w:rPr>
            <w:t>2.3.2. K-Nearest Neighbors (KNN)</w:t>
            <w:tab/>
            <w:t>9</w:t>
          </w:r>
        </w:p>
        <w:p>
          <w:pPr>
            <w:pStyle w:val="TOC3"/>
            <w:tabs>
              <w:tab w:val="clear" w:pos="720"/>
              <w:tab w:val="right" w:pos="9025" w:leader="dot"/>
            </w:tabs>
            <w:rPr/>
          </w:pPr>
          <w:r>
            <w:rPr>
              <w:vanish w:val="false"/>
            </w:rPr>
            <w:t>2.3.3. Support Vector Machine (SVM)</w:t>
            <w:tab/>
            <w:t>10</w:t>
          </w:r>
        </w:p>
        <w:p>
          <w:pPr>
            <w:pStyle w:val="TOC3"/>
            <w:tabs>
              <w:tab w:val="clear" w:pos="720"/>
              <w:tab w:val="right" w:pos="9025" w:leader="dot"/>
            </w:tabs>
            <w:rPr/>
          </w:pPr>
          <w:r>
            <w:rPr>
              <w:vanish w:val="false"/>
            </w:rPr>
            <w:t>2.3.4. Random Forest</w:t>
            <w:tab/>
            <w:t>10</w:t>
          </w:r>
        </w:p>
        <w:p>
          <w:pPr>
            <w:pStyle w:val="TOC3"/>
            <w:tabs>
              <w:tab w:val="clear" w:pos="720"/>
              <w:tab w:val="right" w:pos="9025" w:leader="dot"/>
            </w:tabs>
            <w:rPr/>
          </w:pPr>
          <w:r>
            <w:rPr>
              <w:vanish w:val="false"/>
            </w:rPr>
            <w:t>2.3.5. XGBoost</w:t>
            <w:tab/>
            <w:t>10</w:t>
          </w:r>
        </w:p>
        <w:p>
          <w:pPr>
            <w:pStyle w:val="TOC2"/>
            <w:tabs>
              <w:tab w:val="clear" w:pos="720"/>
              <w:tab w:val="right" w:pos="9025" w:leader="dot"/>
            </w:tabs>
            <w:rPr/>
          </w:pPr>
          <w:r>
            <w:rPr>
              <w:vanish w:val="false"/>
            </w:rPr>
            <w:t>2.4. Методе интерпретације модела</w:t>
            <w:tab/>
            <w:t>11</w:t>
          </w:r>
        </w:p>
        <w:p>
          <w:pPr>
            <w:pStyle w:val="TOC3"/>
            <w:tabs>
              <w:tab w:val="clear" w:pos="720"/>
              <w:tab w:val="right" w:pos="9025" w:leader="dot"/>
            </w:tabs>
            <w:rPr/>
          </w:pPr>
          <w:r>
            <w:rPr>
              <w:vanish w:val="false"/>
            </w:rPr>
            <w:t>2.4.1. Интерпретација коефицијената логистичке регресије</w:t>
            <w:tab/>
            <w:t>11</w:t>
          </w:r>
        </w:p>
        <w:p>
          <w:pPr>
            <w:pStyle w:val="TOC3"/>
            <w:tabs>
              <w:tab w:val="clear" w:pos="720"/>
              <w:tab w:val="right" w:pos="9025" w:leader="dot"/>
            </w:tabs>
            <w:rPr/>
          </w:pPr>
          <w:r>
            <w:rPr>
              <w:vanish w:val="false"/>
            </w:rPr>
            <w:t>2.4.2. Значај обележја код ансамбл модела</w:t>
            <w:tab/>
            <w:t>11</w:t>
          </w:r>
        </w:p>
        <w:p>
          <w:pPr>
            <w:pStyle w:val="TOC3"/>
            <w:tabs>
              <w:tab w:val="clear" w:pos="720"/>
              <w:tab w:val="right" w:pos="9025" w:leader="dot"/>
            </w:tabs>
            <w:rPr/>
          </w:pPr>
          <w:r>
            <w:rPr>
              <w:vanish w:val="false"/>
            </w:rPr>
            <w:t>2.4.3. SHAP анализа</w:t>
            <w:tab/>
            <w:t>12</w:t>
          </w:r>
        </w:p>
        <w:p>
          <w:pPr>
            <w:pStyle w:val="TOC1"/>
            <w:tabs>
              <w:tab w:val="clear" w:pos="720"/>
              <w:tab w:val="right" w:pos="9025" w:leader="dot"/>
            </w:tabs>
            <w:rPr/>
          </w:pPr>
          <w:r>
            <w:rPr>
              <w:vanish w:val="false"/>
            </w:rPr>
            <w:t>3. Скуп података</w:t>
            <w:tab/>
            <w:t>13</w:t>
          </w:r>
        </w:p>
        <w:p>
          <w:pPr>
            <w:pStyle w:val="TOC2"/>
            <w:tabs>
              <w:tab w:val="clear" w:pos="720"/>
              <w:tab w:val="right" w:pos="9025" w:leader="dot"/>
            </w:tabs>
            <w:rPr/>
          </w:pPr>
          <w:r>
            <w:rPr>
              <w:vanish w:val="false"/>
            </w:rPr>
            <w:t>3.1. Порекло и начин прикупљања података</w:t>
            <w:tab/>
            <w:t>13</w:t>
          </w:r>
        </w:p>
        <w:p>
          <w:pPr>
            <w:pStyle w:val="TOC2"/>
            <w:tabs>
              <w:tab w:val="clear" w:pos="720"/>
              <w:tab w:val="right" w:pos="9025" w:leader="dot"/>
            </w:tabs>
            <w:rPr/>
          </w:pPr>
          <w:r>
            <w:rPr>
              <w:vanish w:val="false"/>
            </w:rPr>
            <w:t>3.2. Структура и димензије скупа података</w:t>
            <w:tab/>
            <w:t>13</w:t>
          </w:r>
        </w:p>
        <w:p>
          <w:pPr>
            <w:pStyle w:val="TOC2"/>
            <w:tabs>
              <w:tab w:val="clear" w:pos="720"/>
              <w:tab w:val="right" w:pos="9025" w:leader="dot"/>
            </w:tabs>
            <w:rPr/>
          </w:pPr>
          <w:r>
            <w:rPr>
              <w:vanish w:val="false"/>
            </w:rPr>
            <w:t>3.3. Типови обележја</w:t>
            <w:tab/>
            <w:t>14</w:t>
          </w:r>
        </w:p>
        <w:p>
          <w:pPr>
            <w:pStyle w:val="TOC2"/>
            <w:tabs>
              <w:tab w:val="clear" w:pos="720"/>
              <w:tab w:val="right" w:pos="9025" w:leader="dot"/>
            </w:tabs>
            <w:rPr/>
          </w:pPr>
          <w:r>
            <w:rPr>
              <w:vanish w:val="false"/>
            </w:rPr>
            <w:t>3.4. Дефинисање циљне променљиве (СТЕМ vs. НЕ-СТЕМ)</w:t>
            <w:tab/>
            <w:t>15</w:t>
          </w:r>
        </w:p>
        <w:p>
          <w:pPr>
            <w:pStyle w:val="TOC2"/>
            <w:tabs>
              <w:tab w:val="clear" w:pos="720"/>
              <w:tab w:val="right" w:pos="9025" w:leader="dot"/>
            </w:tabs>
            <w:rPr/>
          </w:pPr>
          <w:r>
            <w:rPr>
              <w:vanish w:val="false"/>
            </w:rPr>
            <w:t>3.5. Расподела циљне променљиве (баланс класа)</w:t>
            <w:tab/>
            <w:t>16</w:t>
          </w:r>
        </w:p>
        <w:p>
          <w:pPr>
            <w:pStyle w:val="TOC2"/>
            <w:tabs>
              <w:tab w:val="clear" w:pos="720"/>
              <w:tab w:val="right" w:pos="9025" w:leader="dot"/>
            </w:tabs>
            <w:rPr/>
          </w:pPr>
          <w:r>
            <w:rPr>
              <w:vanish w:val="false"/>
            </w:rPr>
            <w:t>3.6. Ограничења скупа података</w:t>
            <w:tab/>
            <w:t>17</w:t>
          </w:r>
        </w:p>
        <w:p>
          <w:pPr>
            <w:pStyle w:val="TOC1"/>
            <w:tabs>
              <w:tab w:val="clear" w:pos="720"/>
              <w:tab w:val="right" w:pos="9025" w:leader="dot"/>
            </w:tabs>
            <w:rPr/>
          </w:pPr>
          <w:r>
            <w:rPr>
              <w:vanish w:val="false"/>
            </w:rPr>
            <w:t>4. Експлораторна анализа података (ЕДА)</w:t>
            <w:tab/>
            <w:t>19</w:t>
          </w:r>
        </w:p>
        <w:p>
          <w:pPr>
            <w:pStyle w:val="TOC2"/>
            <w:tabs>
              <w:tab w:val="clear" w:pos="720"/>
              <w:tab w:val="right" w:pos="9025" w:leader="dot"/>
            </w:tabs>
            <w:rPr/>
          </w:pPr>
          <w:r>
            <w:rPr>
              <w:vanish w:val="false"/>
            </w:rPr>
            <w:t>4.1. Дескриптивна статистика нумеричких обележја</w:t>
            <w:tab/>
            <w:t>19</w:t>
          </w:r>
        </w:p>
        <w:p>
          <w:pPr>
            <w:pStyle w:val="TOC2"/>
            <w:tabs>
              <w:tab w:val="clear" w:pos="720"/>
              <w:tab w:val="right" w:pos="9025" w:leader="dot"/>
            </w:tabs>
            <w:rPr/>
          </w:pPr>
          <w:r>
            <w:rPr>
              <w:vanish w:val="false"/>
            </w:rPr>
            <w:t>4.2. Анализа категоријских обележја</w:t>
            <w:tab/>
            <w:t>20</w:t>
          </w:r>
        </w:p>
        <w:p>
          <w:pPr>
            <w:pStyle w:val="TOC2"/>
            <w:tabs>
              <w:tab w:val="clear" w:pos="720"/>
              <w:tab w:val="right" w:pos="9025" w:leader="dot"/>
            </w:tabs>
            <w:rPr/>
          </w:pPr>
          <w:r>
            <w:rPr>
              <w:vanish w:val="false"/>
            </w:rPr>
            <w:t>4.3. Графички приказ расподела</w:t>
            <w:tab/>
            <w:t>22</w:t>
          </w:r>
        </w:p>
        <w:p>
          <w:pPr>
            <w:pStyle w:val="TOC2"/>
            <w:tabs>
              <w:tab w:val="clear" w:pos="720"/>
              <w:tab w:val="right" w:pos="9025" w:leader="dot"/>
            </w:tabs>
            <w:rPr/>
          </w:pPr>
          <w:r>
            <w:rPr>
              <w:vanish w:val="false"/>
            </w:rPr>
            <w:t>4.4. Корелациона матрица</w:t>
            <w:tab/>
            <w:t>26</w:t>
          </w:r>
        </w:p>
        <w:p>
          <w:pPr>
            <w:pStyle w:val="TOC2"/>
            <w:tabs>
              <w:tab w:val="clear" w:pos="720"/>
              <w:tab w:val="right" w:pos="9025" w:leader="dot"/>
            </w:tabs>
            <w:rPr/>
          </w:pPr>
          <w:r>
            <w:rPr>
              <w:vanish w:val="false"/>
            </w:rPr>
            <w:t>4.5. Статистички тестови повезаности са циљном променљивом</w:t>
            <w:tab/>
            <w:t>27</w:t>
          </w:r>
        </w:p>
        <w:p>
          <w:pPr>
            <w:pStyle w:val="TOC1"/>
            <w:tabs>
              <w:tab w:val="clear" w:pos="720"/>
              <w:tab w:val="right" w:pos="9025" w:leader="dot"/>
            </w:tabs>
            <w:rPr/>
          </w:pPr>
          <w:r>
            <w:rPr>
              <w:vanish w:val="false"/>
            </w:rPr>
            <w:t>5. Припрема података</w:t>
            <w:tab/>
            <w:t>29</w:t>
          </w:r>
        </w:p>
        <w:p>
          <w:pPr>
            <w:pStyle w:val="TOC2"/>
            <w:tabs>
              <w:tab w:val="clear" w:pos="720"/>
              <w:tab w:val="right" w:pos="9025" w:leader="dot"/>
            </w:tabs>
            <w:rPr/>
          </w:pPr>
          <w:r>
            <w:rPr>
              <w:vanish w:val="false"/>
            </w:rPr>
            <w:t>5.1. Уклањање непотребних колона</w:t>
            <w:tab/>
            <w:t>29</w:t>
          </w:r>
        </w:p>
        <w:p>
          <w:pPr>
            <w:pStyle w:val="TOC2"/>
            <w:tabs>
              <w:tab w:val="clear" w:pos="720"/>
              <w:tab w:val="right" w:pos="9025" w:leader="dot"/>
            </w:tabs>
            <w:rPr/>
          </w:pPr>
          <w:r>
            <w:rPr>
              <w:vanish w:val="false"/>
            </w:rPr>
            <w:t>5.2. Обрада недостајућих вредности</w:t>
            <w:tab/>
            <w:t>29</w:t>
          </w:r>
        </w:p>
        <w:p>
          <w:pPr>
            <w:pStyle w:val="TOC2"/>
            <w:tabs>
              <w:tab w:val="clear" w:pos="720"/>
              <w:tab w:val="right" w:pos="9025" w:leader="dot"/>
            </w:tabs>
            <w:rPr/>
          </w:pPr>
          <w:r>
            <w:rPr>
              <w:vanish w:val="false"/>
            </w:rPr>
            <w:t>5.3. Детекција дупликата</w:t>
            <w:tab/>
            <w:t>30</w:t>
          </w:r>
        </w:p>
        <w:p>
          <w:pPr>
            <w:pStyle w:val="TOC2"/>
            <w:tabs>
              <w:tab w:val="clear" w:pos="720"/>
              <w:tab w:val="right" w:pos="9025" w:leader="dot"/>
            </w:tabs>
            <w:rPr/>
          </w:pPr>
          <w:r>
            <w:rPr>
              <w:vanish w:val="false"/>
            </w:rPr>
            <w:t>5.4. Детекција аномалија</w:t>
            <w:tab/>
            <w:t>30</w:t>
          </w:r>
        </w:p>
        <w:p>
          <w:pPr>
            <w:pStyle w:val="TOC2"/>
            <w:tabs>
              <w:tab w:val="clear" w:pos="720"/>
              <w:tab w:val="right" w:pos="9025" w:leader="dot"/>
            </w:tabs>
            <w:rPr/>
          </w:pPr>
          <w:r>
            <w:rPr>
              <w:vanish w:val="false"/>
            </w:rPr>
            <w:t>5.5. Енкодирање категоријских променљивих</w:t>
            <w:tab/>
            <w:t>31</w:t>
          </w:r>
        </w:p>
        <w:p>
          <w:pPr>
            <w:pStyle w:val="TOC2"/>
            <w:tabs>
              <w:tab w:val="clear" w:pos="720"/>
              <w:tab w:val="right" w:pos="9025" w:leader="dot"/>
            </w:tabs>
            <w:rPr/>
          </w:pPr>
          <w:r>
            <w:rPr>
              <w:vanish w:val="false"/>
            </w:rPr>
            <w:t>5.6. Подела скупа података (Stratified train-test split)</w:t>
            <w:tab/>
            <w:t>31</w:t>
          </w:r>
        </w:p>
        <w:p>
          <w:pPr>
            <w:pStyle w:val="TOC2"/>
            <w:tabs>
              <w:tab w:val="clear" w:pos="720"/>
              <w:tab w:val="right" w:pos="9025" w:leader="dot"/>
            </w:tabs>
            <w:rPr/>
          </w:pPr>
          <w:r>
            <w:rPr>
              <w:vanish w:val="false"/>
            </w:rPr>
            <w:t>5.7. Скалирање нумеричких обележја</w:t>
            <w:tab/>
            <w:t>31</w:t>
          </w:r>
        </w:p>
        <w:p>
          <w:pPr>
            <w:pStyle w:val="TOC2"/>
            <w:tabs>
              <w:tab w:val="clear" w:pos="720"/>
              <w:tab w:val="right" w:pos="9025" w:leader="dot"/>
            </w:tabs>
            <w:rPr/>
          </w:pPr>
          <w:r>
            <w:rPr>
              <w:vanish w:val="false"/>
            </w:rPr>
            <w:t>5.8. Селекција обележја</w:t>
            <w:tab/>
            <w:t>32</w:t>
          </w:r>
        </w:p>
        <w:p>
          <w:pPr>
            <w:pStyle w:val="TOC1"/>
            <w:tabs>
              <w:tab w:val="clear" w:pos="720"/>
              <w:tab w:val="right" w:pos="9025" w:leader="dot"/>
            </w:tabs>
            <w:rPr/>
          </w:pPr>
          <w:r>
            <w:rPr>
              <w:vanish w:val="false"/>
            </w:rPr>
            <w:t>6. Методологија развоја и евалуације модела</w:t>
            <w:tab/>
            <w:t>33</w:t>
          </w:r>
        </w:p>
        <w:p>
          <w:pPr>
            <w:pStyle w:val="TOC2"/>
            <w:tabs>
              <w:tab w:val="clear" w:pos="720"/>
              <w:tab w:val="right" w:pos="9025" w:leader="dot"/>
            </w:tabs>
            <w:rPr/>
          </w:pPr>
          <w:r>
            <w:rPr>
              <w:vanish w:val="false"/>
            </w:rPr>
            <w:t>6.1. Ток методологије анализе</w:t>
            <w:tab/>
            <w:t>33</w:t>
          </w:r>
        </w:p>
        <w:p>
          <w:pPr>
            <w:pStyle w:val="TOC2"/>
            <w:tabs>
              <w:tab w:val="clear" w:pos="720"/>
              <w:tab w:val="right" w:pos="9025" w:leader="dot"/>
            </w:tabs>
            <w:rPr/>
          </w:pPr>
          <w:r>
            <w:rPr>
              <w:vanish w:val="false"/>
            </w:rPr>
            <w:t>6.2. Стратегија валидације</w:t>
            <w:tab/>
            <w:t>34</w:t>
          </w:r>
        </w:p>
        <w:p>
          <w:pPr>
            <w:pStyle w:val="TOC2"/>
            <w:tabs>
              <w:tab w:val="clear" w:pos="720"/>
              <w:tab w:val="right" w:pos="9025" w:leader="dot"/>
            </w:tabs>
            <w:rPr/>
          </w:pPr>
          <w:r>
            <w:rPr>
              <w:vanish w:val="false"/>
            </w:rPr>
            <w:t>6.3. Метрике евалуације</w:t>
            <w:tab/>
            <w:t>35</w:t>
          </w:r>
        </w:p>
        <w:p>
          <w:pPr>
            <w:pStyle w:val="TOC3"/>
            <w:tabs>
              <w:tab w:val="clear" w:pos="720"/>
              <w:tab w:val="right" w:pos="9025" w:leader="dot"/>
            </w:tabs>
            <w:rPr/>
          </w:pPr>
          <w:r>
            <w:rPr>
              <w:vanish w:val="false"/>
            </w:rPr>
            <w:t>6.3.1. Accuracy</w:t>
            <w:tab/>
            <w:t>35</w:t>
          </w:r>
        </w:p>
        <w:p>
          <w:pPr>
            <w:pStyle w:val="TOC3"/>
            <w:tabs>
              <w:tab w:val="clear" w:pos="720"/>
              <w:tab w:val="right" w:pos="9025" w:leader="dot"/>
            </w:tabs>
            <w:rPr/>
          </w:pPr>
          <w:r>
            <w:rPr>
              <w:vanish w:val="false"/>
            </w:rPr>
            <w:t>6.3.2. Precision</w:t>
            <w:tab/>
            <w:t>35</w:t>
          </w:r>
        </w:p>
        <w:p>
          <w:pPr>
            <w:pStyle w:val="TOC3"/>
            <w:tabs>
              <w:tab w:val="clear" w:pos="720"/>
              <w:tab w:val="right" w:pos="9025" w:leader="dot"/>
            </w:tabs>
            <w:rPr/>
          </w:pPr>
          <w:r>
            <w:rPr>
              <w:vanish w:val="false"/>
            </w:rPr>
            <w:t>6.3.3. Recall</w:t>
            <w:tab/>
            <w:t>35</w:t>
          </w:r>
        </w:p>
        <w:p>
          <w:pPr>
            <w:pStyle w:val="TOC3"/>
            <w:tabs>
              <w:tab w:val="clear" w:pos="720"/>
              <w:tab w:val="right" w:pos="9025" w:leader="dot"/>
            </w:tabs>
            <w:rPr/>
          </w:pPr>
          <w:r>
            <w:rPr>
              <w:vanish w:val="false"/>
            </w:rPr>
            <w:t>6.3.4. F-1 Score (Macro и Weighted)</w:t>
            <w:tab/>
            <w:t>35</w:t>
          </w:r>
        </w:p>
        <w:p>
          <w:pPr>
            <w:pStyle w:val="TOC3"/>
            <w:tabs>
              <w:tab w:val="clear" w:pos="720"/>
              <w:tab w:val="right" w:pos="9025" w:leader="dot"/>
            </w:tabs>
            <w:rPr/>
          </w:pPr>
          <w:r>
            <w:rPr>
              <w:vanish w:val="false"/>
            </w:rPr>
            <w:t>6.3.5. ROC-AUC</w:t>
            <w:tab/>
            <w:t>35</w:t>
          </w:r>
        </w:p>
        <w:p>
          <w:pPr>
            <w:pStyle w:val="TOC3"/>
            <w:tabs>
              <w:tab w:val="clear" w:pos="720"/>
              <w:tab w:val="right" w:pos="9025" w:leader="dot"/>
            </w:tabs>
            <w:rPr/>
          </w:pPr>
          <w:r>
            <w:rPr>
              <w:vanish w:val="false"/>
            </w:rPr>
            <w:t>6.3.6. Confusion Matrix</w:t>
            <w:tab/>
            <w:t>35</w:t>
          </w:r>
        </w:p>
        <w:p>
          <w:pPr>
            <w:pStyle w:val="TOC2"/>
            <w:tabs>
              <w:tab w:val="clear" w:pos="720"/>
              <w:tab w:val="right" w:pos="9025" w:leader="dot"/>
            </w:tabs>
            <w:rPr/>
          </w:pPr>
          <w:r>
            <w:rPr>
              <w:vanish w:val="false"/>
            </w:rPr>
            <w:t>6.4. Фино подешавање хиперпараметара</w:t>
            <w:tab/>
            <w:t>36</w:t>
          </w:r>
        </w:p>
        <w:p>
          <w:pPr>
            <w:pStyle w:val="TOC3"/>
            <w:tabs>
              <w:tab w:val="clear" w:pos="720"/>
              <w:tab w:val="right" w:pos="9025" w:leader="dot"/>
            </w:tabs>
            <w:rPr/>
          </w:pPr>
          <w:r>
            <w:rPr>
              <w:vanish w:val="false"/>
            </w:rPr>
            <w:t>6.4.1. GridSearchCV</w:t>
            <w:tab/>
            <w:t>36</w:t>
          </w:r>
        </w:p>
        <w:p>
          <w:pPr>
            <w:pStyle w:val="TOC3"/>
            <w:tabs>
              <w:tab w:val="clear" w:pos="720"/>
              <w:tab w:val="right" w:pos="9025" w:leader="dot"/>
            </w:tabs>
            <w:rPr/>
          </w:pPr>
          <w:r>
            <w:rPr>
              <w:vanish w:val="false"/>
            </w:rPr>
            <w:t>6.4.2. RandomizedSearchCV</w:t>
            <w:tab/>
            <w:t>36</w:t>
          </w:r>
        </w:p>
        <w:p>
          <w:pPr>
            <w:pStyle w:val="TOC2"/>
            <w:tabs>
              <w:tab w:val="clear" w:pos="720"/>
              <w:tab w:val="right" w:pos="9025" w:leader="dot"/>
            </w:tabs>
            <w:rPr/>
          </w:pPr>
          <w:r>
            <w:rPr>
              <w:vanish w:val="false"/>
            </w:rPr>
            <w:t>6.5. Nested Cross-Validation</w:t>
            <w:tab/>
            <w:t>36</w:t>
          </w:r>
        </w:p>
        <w:p>
          <w:pPr>
            <w:pStyle w:val="TOC1"/>
            <w:tabs>
              <w:tab w:val="clear" w:pos="720"/>
              <w:tab w:val="right" w:pos="9025" w:leader="dot"/>
            </w:tabs>
            <w:rPr/>
          </w:pPr>
          <w:r>
            <w:rPr>
              <w:vanish w:val="false"/>
            </w:rPr>
            <w:t>7. Резултати и компаративна анализа модела</w:t>
            <w:tab/>
            <w:t>38</w:t>
          </w:r>
        </w:p>
        <w:p>
          <w:pPr>
            <w:pStyle w:val="TOC2"/>
            <w:tabs>
              <w:tab w:val="clear" w:pos="720"/>
              <w:tab w:val="right" w:pos="9025" w:leader="dot"/>
            </w:tabs>
            <w:rPr/>
          </w:pPr>
          <w:r>
            <w:rPr>
              <w:vanish w:val="false"/>
            </w:rPr>
            <w:t>7.1. Baseline модел (Dummy Classifier)</w:t>
            <w:tab/>
            <w:t>38</w:t>
          </w:r>
        </w:p>
        <w:p>
          <w:pPr>
            <w:pStyle w:val="TOC2"/>
            <w:tabs>
              <w:tab w:val="clear" w:pos="720"/>
              <w:tab w:val="right" w:pos="9025" w:leader="dot"/>
            </w:tabs>
            <w:rPr/>
          </w:pPr>
          <w:r>
            <w:rPr>
              <w:vanish w:val="false"/>
            </w:rPr>
            <w:t>7.2. Резултати унакрсне валидације</w:t>
            <w:tab/>
            <w:t>38</w:t>
          </w:r>
        </w:p>
        <w:p>
          <w:pPr>
            <w:pStyle w:val="TOC2"/>
            <w:tabs>
              <w:tab w:val="clear" w:pos="720"/>
              <w:tab w:val="right" w:pos="9025" w:leader="dot"/>
            </w:tabs>
            <w:rPr/>
          </w:pPr>
          <w:r>
            <w:rPr>
              <w:vanish w:val="false"/>
            </w:rPr>
            <w:t>7.3. Резултати на тест скупу</w:t>
            <w:tab/>
            <w:t>38</w:t>
          </w:r>
        </w:p>
        <w:p>
          <w:pPr>
            <w:pStyle w:val="TOC2"/>
            <w:tabs>
              <w:tab w:val="clear" w:pos="720"/>
              <w:tab w:val="right" w:pos="9025" w:leader="dot"/>
            </w:tabs>
            <w:rPr/>
          </w:pPr>
          <w:r>
            <w:rPr>
              <w:vanish w:val="false"/>
            </w:rPr>
            <w:t>7.4. Упоредна анализа модела</w:t>
            <w:tab/>
            <w:t>39</w:t>
          </w:r>
        </w:p>
        <w:p>
          <w:pPr>
            <w:pStyle w:val="TOC2"/>
            <w:tabs>
              <w:tab w:val="clear" w:pos="720"/>
              <w:tab w:val="right" w:pos="9025" w:leader="dot"/>
            </w:tabs>
            <w:rPr/>
          </w:pPr>
          <w:r>
            <w:rPr>
              <w:vanish w:val="false"/>
            </w:rPr>
            <w:t>7.5. ROC криве</w:t>
            <w:tab/>
            <w:t>39</w:t>
          </w:r>
        </w:p>
        <w:p>
          <w:pPr>
            <w:pStyle w:val="TOC2"/>
            <w:tabs>
              <w:tab w:val="clear" w:pos="720"/>
              <w:tab w:val="right" w:pos="9025" w:leader="dot"/>
            </w:tabs>
            <w:rPr/>
          </w:pPr>
          <w:r>
            <w:rPr>
              <w:vanish w:val="false"/>
            </w:rPr>
            <w:t>7.6. Дискусија перформанси</w:t>
            <w:tab/>
            <w:t>40</w:t>
          </w:r>
        </w:p>
        <w:p>
          <w:pPr>
            <w:pStyle w:val="TOC1"/>
            <w:tabs>
              <w:tab w:val="clear" w:pos="720"/>
              <w:tab w:val="right" w:pos="9025" w:leader="dot"/>
            </w:tabs>
            <w:rPr/>
          </w:pPr>
          <w:r>
            <w:rPr>
              <w:vanish w:val="false"/>
            </w:rPr>
            <w:t>8. Интерпретабилност модела и анализа значаја обележја</w:t>
            <w:tab/>
            <w:t>41</w:t>
          </w:r>
        </w:p>
        <w:p>
          <w:pPr>
            <w:pStyle w:val="TOC2"/>
            <w:tabs>
              <w:tab w:val="clear" w:pos="720"/>
              <w:tab w:val="right" w:pos="9025" w:leader="dot"/>
            </w:tabs>
            <w:rPr/>
          </w:pPr>
          <w:r>
            <w:rPr>
              <w:vanish w:val="false"/>
            </w:rPr>
            <w:t>8.1. Коефицијенти логистичке регресије (Odds Ratio интерпретација)</w:t>
            <w:tab/>
            <w:t>41</w:t>
          </w:r>
        </w:p>
        <w:p>
          <w:pPr>
            <w:pStyle w:val="TOC2"/>
            <w:tabs>
              <w:tab w:val="clear" w:pos="720"/>
              <w:tab w:val="right" w:pos="9025" w:leader="dot"/>
            </w:tabs>
            <w:rPr/>
          </w:pPr>
          <w:r>
            <w:rPr>
              <w:vanish w:val="false"/>
            </w:rPr>
            <w:t>8.2. Feature importance (Random Forest, XGBoost)</w:t>
            <w:tab/>
            <w:t>42</w:t>
          </w:r>
        </w:p>
        <w:p>
          <w:pPr>
            <w:pStyle w:val="TOC2"/>
            <w:tabs>
              <w:tab w:val="clear" w:pos="720"/>
              <w:tab w:val="right" w:pos="9025" w:leader="dot"/>
            </w:tabs>
            <w:rPr/>
          </w:pPr>
          <w:r>
            <w:rPr>
              <w:vanish w:val="false"/>
            </w:rPr>
            <w:t>8.3. SHAP анализа</w:t>
            <w:tab/>
            <w:t>43</w:t>
          </w:r>
        </w:p>
        <w:p>
          <w:pPr>
            <w:pStyle w:val="TOC2"/>
            <w:tabs>
              <w:tab w:val="clear" w:pos="720"/>
              <w:tab w:val="right" w:pos="9025" w:leader="dot"/>
            </w:tabs>
            <w:rPr/>
          </w:pPr>
          <w:r>
            <w:rPr>
              <w:vanish w:val="false"/>
            </w:rPr>
            <w:t>8.4. Идентификација најзначајнијих предиктора СТЕМ опредељења</w:t>
            <w:tab/>
            <w:t>44</w:t>
          </w:r>
        </w:p>
        <w:p>
          <w:pPr>
            <w:pStyle w:val="TOC1"/>
            <w:tabs>
              <w:tab w:val="clear" w:pos="720"/>
              <w:tab w:val="right" w:pos="9025" w:leader="dot"/>
            </w:tabs>
            <w:rPr/>
          </w:pPr>
          <w:r>
            <w:rPr>
              <w:vanish w:val="false"/>
            </w:rPr>
            <w:t>9. Анализа правичности и робусности модела</w:t>
            <w:tab/>
            <w:t>46</w:t>
          </w:r>
        </w:p>
        <w:p>
          <w:pPr>
            <w:pStyle w:val="TOC2"/>
            <w:tabs>
              <w:tab w:val="clear" w:pos="720"/>
              <w:tab w:val="right" w:pos="9025" w:leader="dot"/>
            </w:tabs>
            <w:rPr/>
          </w:pPr>
          <w:r>
            <w:rPr>
              <w:vanish w:val="false"/>
            </w:rPr>
            <w:t>9.1. Перформансе модела по полу</w:t>
            <w:tab/>
            <w:t>46</w:t>
          </w:r>
        </w:p>
        <w:p>
          <w:pPr>
            <w:pStyle w:val="TOC2"/>
            <w:tabs>
              <w:tab w:val="clear" w:pos="720"/>
              <w:tab w:val="right" w:pos="9025" w:leader="dot"/>
            </w:tabs>
            <w:rPr/>
          </w:pPr>
          <w:r>
            <w:rPr>
              <w:vanish w:val="false"/>
            </w:rPr>
            <w:t>9.2. Анализа потенцијалног bias-а</w:t>
            <w:tab/>
            <w:t>46</w:t>
          </w:r>
        </w:p>
        <w:p>
          <w:pPr>
            <w:pStyle w:val="TOC2"/>
            <w:tabs>
              <w:tab w:val="clear" w:pos="720"/>
              <w:tab w:val="right" w:pos="9025" w:leader="dot"/>
            </w:tabs>
            <w:rPr/>
          </w:pPr>
          <w:r>
            <w:rPr>
              <w:vanish w:val="false"/>
            </w:rPr>
            <w:t>9.3. Анализа робусности (уклањање кључних предиктора)</w:t>
            <w:tab/>
            <w:t>47</w:t>
          </w:r>
        </w:p>
        <w:p>
          <w:pPr>
            <w:pStyle w:val="TOC1"/>
            <w:tabs>
              <w:tab w:val="clear" w:pos="720"/>
              <w:tab w:val="right" w:pos="9025" w:leader="dot"/>
            </w:tabs>
            <w:rPr/>
          </w:pPr>
          <w:r>
            <w:rPr>
              <w:vanish w:val="false"/>
            </w:rPr>
            <w:t>10. Дискусија резултата</w:t>
            <w:tab/>
            <w:t>49</w:t>
          </w:r>
        </w:p>
        <w:p>
          <w:pPr>
            <w:pStyle w:val="TOC2"/>
            <w:tabs>
              <w:tab w:val="clear" w:pos="720"/>
              <w:tab w:val="right" w:pos="9025" w:leader="dot"/>
            </w:tabs>
            <w:rPr/>
          </w:pPr>
          <w:r>
            <w:rPr>
              <w:vanish w:val="false"/>
            </w:rPr>
            <w:t>10.1. Одговори на истраживачка питања</w:t>
            <w:tab/>
            <w:t>49</w:t>
          </w:r>
        </w:p>
        <w:p>
          <w:pPr>
            <w:pStyle w:val="TOC2"/>
            <w:tabs>
              <w:tab w:val="clear" w:pos="720"/>
              <w:tab w:val="right" w:pos="9025" w:leader="dot"/>
            </w:tabs>
            <w:rPr/>
          </w:pPr>
          <w:r>
            <w:rPr>
              <w:vanish w:val="false"/>
            </w:rPr>
            <w:t>10.2. Главни допринос рада</w:t>
            <w:tab/>
            <w:t>50</w:t>
          </w:r>
        </w:p>
        <w:p>
          <w:pPr>
            <w:pStyle w:val="TOC2"/>
            <w:tabs>
              <w:tab w:val="clear" w:pos="720"/>
              <w:tab w:val="right" w:pos="9025" w:leader="dot"/>
            </w:tabs>
            <w:rPr/>
          </w:pPr>
          <w:r>
            <w:rPr>
              <w:vanish w:val="false"/>
            </w:rPr>
            <w:t>10.3. Практичне импликације</w:t>
            <w:tab/>
            <w:t>50</w:t>
          </w:r>
        </w:p>
        <w:p>
          <w:pPr>
            <w:pStyle w:val="TOC2"/>
            <w:tabs>
              <w:tab w:val="clear" w:pos="720"/>
              <w:tab w:val="right" w:pos="9025" w:leader="dot"/>
            </w:tabs>
            <w:rPr/>
          </w:pPr>
          <w:r>
            <w:rPr>
              <w:vanish w:val="false"/>
            </w:rPr>
            <w:t>10.4. Ограничења истраживања</w:t>
            <w:tab/>
            <w:t>51</w:t>
          </w:r>
        </w:p>
        <w:p>
          <w:pPr>
            <w:pStyle w:val="TOC2"/>
            <w:tabs>
              <w:tab w:val="clear" w:pos="720"/>
              <w:tab w:val="right" w:pos="9025" w:leader="dot"/>
            </w:tabs>
            <w:rPr/>
          </w:pPr>
          <w:r>
            <w:rPr>
              <w:vanish w:val="false"/>
            </w:rPr>
            <w:t>10.5. Правци будућих истраживања</w:t>
            <w:tab/>
            <w:t>51</w:t>
          </w:r>
        </w:p>
        <w:p>
          <w:pPr>
            <w:pStyle w:val="TOC1"/>
            <w:tabs>
              <w:tab w:val="clear" w:pos="720"/>
              <w:tab w:val="right" w:pos="9025" w:leader="dot"/>
            </w:tabs>
            <w:rPr/>
          </w:pPr>
          <w:r>
            <w:rPr>
              <w:vanish w:val="false"/>
            </w:rPr>
            <w:t>11. Закључак</w:t>
            <w:tab/>
            <w:t>52</w:t>
          </w:r>
        </w:p>
        <w:p>
          <w:pPr>
            <w:pStyle w:val="TOC1"/>
            <w:tabs>
              <w:tab w:val="clear" w:pos="720"/>
              <w:tab w:val="right" w:pos="9025" w:leader="dot"/>
            </w:tabs>
            <w:rPr/>
          </w:pPr>
          <w:r>
            <w:rPr>
              <w:vanish w:val="false"/>
            </w:rPr>
            <w:t>Литература</w:t>
            <w:tab/>
            <w:t>53</w:t>
          </w:r>
        </w:p>
        <w:p>
          <w:pPr>
            <w:pStyle w:val="TOC1"/>
            <w:tabs>
              <w:tab w:val="clear" w:pos="720"/>
              <w:tab w:val="right" w:pos="9025" w:leader="dot"/>
            </w:tabs>
            <w:rPr/>
          </w:pPr>
          <w:r>
            <w:rPr>
              <w:vanish w:val="false"/>
            </w:rPr>
            <w:t>Кратка биографија кандидата</w:t>
            <w:tab/>
            <w:t>54</w:t>
          </w:r>
          <w:r>
            <w:rPr>
              <w:vanish w:val="false"/>
            </w:rPr>
            <w:fldChar w:fldCharType="end"/>
          </w:r>
        </w:p>
      </w:sdtContent>
    </w:sdt>
    <w:p>
      <w:pPr>
        <w:pStyle w:val="Style5"/>
        <w:numPr>
          <w:ilvl w:val="0"/>
          <w:numId w:val="1"/>
        </w:numPr>
        <w:ind w:hanging="357" w:left="357"/>
        <w:rPr/>
      </w:pPr>
      <w:bookmarkStart w:id="0" w:name="__RefHeading___Toc2271_1317292878"/>
      <w:bookmarkStart w:id="1" w:name="_Toc225785061"/>
      <w:bookmarkEnd w:id="0"/>
      <w:r>
        <w:rPr/>
        <w:t>Увод</w:t>
      </w:r>
      <w:bookmarkEnd w:id="1"/>
    </w:p>
    <w:p>
      <w:pPr>
        <w:pStyle w:val="Style6"/>
        <w:numPr>
          <w:ilvl w:val="1"/>
          <w:numId w:val="1"/>
        </w:numPr>
        <w:ind w:hanging="567" w:left="567"/>
        <w:rPr/>
      </w:pPr>
      <w:bookmarkStart w:id="2" w:name="__RefHeading___Toc2273_1317292878"/>
      <w:bookmarkStart w:id="3" w:name="_Toc225785062"/>
      <w:bookmarkEnd w:id="2"/>
      <w:r>
        <w:rPr/>
        <w:t>Мотивација истраживања</w:t>
      </w:r>
      <w:bookmarkEnd w:id="3"/>
    </w:p>
    <w:p>
      <w:pPr>
        <w:pStyle w:val="Style8"/>
        <w:rPr/>
      </w:pPr>
      <w:r>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pPr>
      <w:r>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pPr>
      <w:r>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pPr>
      <w:bookmarkStart w:id="4" w:name="__RefHeading___Toc2275_1317292878"/>
      <w:bookmarkStart w:id="5" w:name="_Toc225785063"/>
      <w:bookmarkEnd w:id="4"/>
      <w:r>
        <w:rPr/>
        <w:t>Проблем истраживања</w:t>
      </w:r>
      <w:bookmarkEnd w:id="5"/>
    </w:p>
    <w:p>
      <w:pPr>
        <w:pStyle w:val="Style8"/>
        <w:rPr/>
      </w:pPr>
      <w:r>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pPr>
      <w:r>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pPr>
      <w:bookmarkStart w:id="6" w:name="__RefHeading___Toc2277_1317292878"/>
      <w:bookmarkStart w:id="7" w:name="_Toc225785064"/>
      <w:bookmarkEnd w:id="6"/>
      <w:r>
        <w:rPr/>
        <w:t>Циљ рада</w:t>
      </w:r>
      <w:bookmarkEnd w:id="7"/>
    </w:p>
    <w:p>
      <w:pPr>
        <w:pStyle w:val="Style8"/>
        <w:rPr/>
      </w:pPr>
      <w:r>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pPr>
      <w:r>
        <w:rPr/>
        <w:t>Специфични циљеви обухватају:</w:t>
      </w:r>
    </w:p>
    <w:p>
      <w:pPr>
        <w:pStyle w:val="Style8"/>
        <w:numPr>
          <w:ilvl w:val="0"/>
          <w:numId w:val="6"/>
        </w:numPr>
        <w:rPr/>
      </w:pPr>
      <w:r>
        <w:rPr/>
        <w:t>испитивање статистичке повезаности појединачних обележја са циљном променљивом,</w:t>
      </w:r>
    </w:p>
    <w:p>
      <w:pPr>
        <w:pStyle w:val="Style8"/>
        <w:numPr>
          <w:ilvl w:val="0"/>
          <w:numId w:val="6"/>
        </w:numPr>
        <w:rPr/>
      </w:pPr>
      <w:r>
        <w:rPr/>
        <w:t>развој и евалуацију више класификационих модела,</w:t>
      </w:r>
    </w:p>
    <w:p>
      <w:pPr>
        <w:pStyle w:val="Style8"/>
        <w:numPr>
          <w:ilvl w:val="0"/>
          <w:numId w:val="6"/>
        </w:numPr>
        <w:rPr/>
      </w:pPr>
      <w:r>
        <w:rPr/>
        <w:t>упоредну анализу перформанси модела,</w:t>
      </w:r>
    </w:p>
    <w:p>
      <w:pPr>
        <w:pStyle w:val="Style8"/>
        <w:numPr>
          <w:ilvl w:val="0"/>
          <w:numId w:val="6"/>
        </w:numPr>
        <w:rPr/>
      </w:pPr>
      <w:r>
        <w:rPr/>
        <w:t>идентификацију најзначајнијих предиктора СТЕМ афинитета,</w:t>
      </w:r>
    </w:p>
    <w:p>
      <w:pPr>
        <w:pStyle w:val="Style8"/>
        <w:numPr>
          <w:ilvl w:val="0"/>
          <w:numId w:val="6"/>
        </w:numPr>
        <w:rPr/>
      </w:pPr>
      <w:r>
        <w:rPr/>
        <w:t>разматрање практичних и етичких импликација примене модела у образовном контексту.</w:t>
      </w:r>
    </w:p>
    <w:p>
      <w:pPr>
        <w:pStyle w:val="Style6"/>
        <w:numPr>
          <w:ilvl w:val="1"/>
          <w:numId w:val="1"/>
        </w:numPr>
        <w:ind w:hanging="567" w:left="567"/>
        <w:rPr/>
      </w:pPr>
      <w:bookmarkStart w:id="8" w:name="__RefHeading___Toc2279_1317292878"/>
      <w:bookmarkStart w:id="9" w:name="_Toc225785065"/>
      <w:bookmarkEnd w:id="8"/>
      <w:r>
        <w:rPr/>
        <w:t>Истраживачка питања и хипотезе</w:t>
      </w:r>
      <w:bookmarkEnd w:id="9"/>
    </w:p>
    <w:p>
      <w:pPr>
        <w:pStyle w:val="Style8"/>
        <w:rPr/>
      </w:pPr>
      <w:r>
        <w:rPr/>
        <w:t>У складу са дефинисаним циљем рада, постављена су следећа истраживачка питања:</w:t>
      </w:r>
    </w:p>
    <w:p>
      <w:pPr>
        <w:pStyle w:val="Style8"/>
        <w:numPr>
          <w:ilvl w:val="0"/>
          <w:numId w:val="4"/>
        </w:numPr>
        <w:rPr/>
      </w:pPr>
      <w:r>
        <w:rPr>
          <w:b/>
          <w:bCs/>
        </w:rPr>
        <w:t>Питање 1:</w:t>
      </w:r>
      <w:r>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pPr>
      <w:r>
        <w:rPr>
          <w:b/>
          <w:bCs/>
        </w:rPr>
        <w:t>Питање 2:</w:t>
      </w:r>
      <w:r>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pPr>
      <w:r>
        <w:rPr>
          <w:b/>
          <w:bCs/>
        </w:rPr>
        <w:t>Питање 3:</w:t>
      </w:r>
      <w:r>
        <w:rPr/>
        <w:t xml:space="preserve"> Који модел показује најбоље перформансе у задатку класификације?</w:t>
      </w:r>
    </w:p>
    <w:p>
      <w:pPr>
        <w:pStyle w:val="Style8"/>
        <w:numPr>
          <w:ilvl w:val="0"/>
          <w:numId w:val="4"/>
        </w:numPr>
        <w:rPr/>
      </w:pPr>
      <w:r>
        <w:rPr>
          <w:b/>
          <w:bCs/>
        </w:rPr>
        <w:t>Питање 4:</w:t>
      </w:r>
      <w:r>
        <w:rPr/>
        <w:t xml:space="preserve"> Која обележја имају највећи допринос предиктивној моћи модела?</w:t>
      </w:r>
    </w:p>
    <w:p>
      <w:pPr>
        <w:pStyle w:val="Style8"/>
        <w:rPr/>
      </w:pPr>
      <w:r>
        <w:rPr/>
        <w:t>На основу ових питања формулисане су следеће хипотезе:</w:t>
      </w:r>
    </w:p>
    <w:p>
      <w:pPr>
        <w:pStyle w:val="Style8"/>
        <w:numPr>
          <w:ilvl w:val="0"/>
          <w:numId w:val="5"/>
        </w:numPr>
        <w:rPr/>
      </w:pPr>
      <w:r>
        <w:rPr>
          <w:b/>
          <w:bCs/>
        </w:rPr>
        <w:t>Х1:</w:t>
      </w:r>
      <w:r>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pPr>
      <w:r>
        <w:rPr>
          <w:b/>
          <w:bCs/>
        </w:rPr>
        <w:t>Х2:</w:t>
      </w:r>
      <w:r>
        <w:rPr/>
        <w:t xml:space="preserve"> Перципирана тежина математике и природних наука повезана је са вероватноћом опредељења ка СТЕМ смеру.</w:t>
      </w:r>
    </w:p>
    <w:p>
      <w:pPr>
        <w:pStyle w:val="Style8"/>
        <w:numPr>
          <w:ilvl w:val="0"/>
          <w:numId w:val="5"/>
        </w:numPr>
        <w:rPr/>
      </w:pPr>
      <w:r>
        <w:rPr>
          <w:b/>
          <w:bCs/>
        </w:rPr>
        <w:t>Х3:</w:t>
      </w:r>
      <w:r>
        <w:rPr/>
        <w:t xml:space="preserve"> Ансамбл модели машинског учења остварују боље перформансе у односу на линеарне моделе.</w:t>
      </w:r>
    </w:p>
    <w:p>
      <w:pPr>
        <w:pStyle w:val="Style8"/>
        <w:numPr>
          <w:ilvl w:val="0"/>
          <w:numId w:val="5"/>
        </w:numPr>
        <w:rPr/>
      </w:pPr>
      <w:r>
        <w:rPr>
          <w:b/>
          <w:bCs/>
        </w:rPr>
        <w:t>Х4:</w:t>
      </w:r>
      <w:r>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pPr>
      <w:bookmarkStart w:id="10" w:name="__RefHeading___Toc2281_1317292878"/>
      <w:bookmarkStart w:id="11" w:name="_Toc225785066"/>
      <w:bookmarkEnd w:id="10"/>
      <w:r>
        <w:rPr/>
        <w:t>Структура рада</w:t>
      </w:r>
      <w:bookmarkEnd w:id="11"/>
    </w:p>
    <w:p>
      <w:pPr>
        <w:pStyle w:val="Style8"/>
        <w:rPr>
          <w:rFonts w:ascii="Cambria" w:hAnsi="Cambria" w:eastAsia="ＭＳ ゴシック" w:asciiTheme="majorHAnsi" w:eastAsiaTheme="majorEastAsia" w:hAnsiTheme="majorHAnsi"/>
          <w:b/>
          <w:bCs/>
          <w:iCs/>
          <w:sz w:val="28"/>
          <w:szCs w:val="28"/>
        </w:rPr>
      </w:pPr>
      <w:r>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r>
        <w:br w:type="page"/>
      </w:r>
    </w:p>
    <w:p>
      <w:pPr>
        <w:pStyle w:val="Style5"/>
        <w:numPr>
          <w:ilvl w:val="0"/>
          <w:numId w:val="1"/>
        </w:numPr>
        <w:spacing w:before="0" w:after="840"/>
        <w:ind w:hanging="357" w:left="357"/>
        <w:rPr/>
      </w:pPr>
      <w:bookmarkStart w:id="12" w:name="__RefHeading___Toc2283_1317292878"/>
      <w:bookmarkStart w:id="13" w:name="_Toc225785067"/>
      <w:bookmarkEnd w:id="12"/>
      <w:r>
        <w:rPr/>
        <w:t>Теоријски оквир</w:t>
      </w:r>
      <w:bookmarkEnd w:id="13"/>
    </w:p>
    <w:p>
      <w:pPr>
        <w:pStyle w:val="Style8"/>
        <w:rPr/>
      </w:pPr>
      <w:r>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pPr>
      <w:bookmarkStart w:id="14" w:name="__RefHeading___Toc2285_1317292878"/>
      <w:bookmarkStart w:id="15" w:name="_Toc225785068"/>
      <w:bookmarkEnd w:id="14"/>
      <w:r>
        <w:rPr/>
        <w:t>Фактори који утичу на СТЕМ опредељење ученика</w:t>
      </w:r>
      <w:bookmarkEnd w:id="15"/>
    </w:p>
    <w:p>
      <w:pPr>
        <w:pStyle w:val="Style8"/>
        <w:rPr/>
      </w:pPr>
      <w:r>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pPr>
        <w:pStyle w:val="Style8"/>
        <w:rPr/>
      </w:pPr>
      <w:r>
        <w:rPr/>
        <w:t xml:space="preserve">Један од најчешће анализираних фактора је </w:t>
      </w:r>
      <w:r>
        <w:rPr>
          <w:b/>
          <w:bCs/>
        </w:rPr>
        <w:t>школски успех</w:t>
      </w:r>
      <w:r>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pPr>
      <w:r>
        <w:rPr/>
        <w:t xml:space="preserve">Поред академског успеха, значајну улогу имају и </w:t>
      </w:r>
      <w:r>
        <w:rPr>
          <w:b/>
          <w:bCs/>
        </w:rPr>
        <w:t xml:space="preserve">ставови ученика према СТЕМ областима. </w:t>
      </w:r>
      <w:r>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pPr>
      <w:r>
        <w:rPr/>
        <w:t xml:space="preserve">Важан фактор представља и </w:t>
      </w:r>
      <w:r>
        <w:rPr>
          <w:b/>
          <w:bCs/>
        </w:rPr>
        <w:t xml:space="preserve">претходно искуство ученика са СТЕМ активностима. </w:t>
      </w:r>
      <w:r>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pPr>
        <w:pStyle w:val="Style8"/>
        <w:rPr/>
      </w:pPr>
      <w:r>
        <w:rPr/>
        <w:t xml:space="preserve">Поред образовних фактора, у литератури се често анализирају и </w:t>
      </w:r>
      <w:r>
        <w:rPr>
          <w:b/>
          <w:bCs/>
        </w:rPr>
        <w:t>социо-демографске карактеристике ученика</w:t>
      </w:r>
      <w:r>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pPr>
        <w:pStyle w:val="Style8"/>
        <w:rPr/>
      </w:pPr>
      <w:r>
        <w:rPr/>
        <w:t xml:space="preserve">Поред наведених фактора, значајну улогу могу имати и </w:t>
      </w:r>
      <w:r>
        <w:rPr>
          <w:b/>
          <w:bCs/>
        </w:rPr>
        <w:t>перцепције ученика о сопственим способностима</w:t>
      </w:r>
      <w:r>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pPr>
      <w:r>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pPr>
      <w:bookmarkStart w:id="16" w:name="__RefHeading___Toc2287_1317292878"/>
      <w:bookmarkStart w:id="17" w:name="_Toc225785069"/>
      <w:bookmarkEnd w:id="16"/>
      <w:r>
        <w:rPr/>
        <w:t>Машинско учење у образовној аналитици</w:t>
      </w:r>
      <w:bookmarkEnd w:id="17"/>
    </w:p>
    <w:p>
      <w:pPr>
        <w:pStyle w:val="Style8"/>
        <w:rPr/>
      </w:pPr>
      <w:r>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rPr>
        <w:t>образовне аналитике (Educational Data Analytics)</w:t>
      </w:r>
      <w:r>
        <w:rPr/>
        <w:t>, која се бави применом различитих статистичких и рачунарских метора у анализи података из образовног окружења.</w:t>
      </w:r>
    </w:p>
    <w:p>
      <w:pPr>
        <w:pStyle w:val="Style8"/>
        <w:rPr/>
      </w:pPr>
      <w:r>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pPr>
        <w:pStyle w:val="Style8"/>
        <w:rPr/>
      </w:pPr>
      <w:r>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pPr>
      <w:r>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pPr>
        <w:pStyle w:val="Style8"/>
        <w:rPr/>
      </w:pPr>
      <w:r>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pPr>
      <w:r>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pPr>
      <w:bookmarkStart w:id="18" w:name="__RefHeading___Toc2289_1317292878"/>
      <w:bookmarkStart w:id="19" w:name="_Toc225785070"/>
      <w:bookmarkEnd w:id="18"/>
      <w:r>
        <w:rPr/>
        <w:t>Алгоритми машинског учења коришћени у раду</w:t>
      </w:r>
      <w:bookmarkEnd w:id="19"/>
    </w:p>
    <w:p>
      <w:pPr>
        <w:pStyle w:val="Style8"/>
        <w:rPr/>
      </w:pPr>
      <w:r>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pPr>
      <w:bookmarkStart w:id="20" w:name="__RefHeading___Toc2291_1317292878"/>
      <w:bookmarkStart w:id="21" w:name="_Toc225785071"/>
      <w:bookmarkEnd w:id="20"/>
      <w:r>
        <w:rPr/>
        <w:t>Логистичка регресија</w:t>
      </w:r>
      <w:bookmarkEnd w:id="21"/>
    </w:p>
    <w:p>
      <w:pPr>
        <w:pStyle w:val="Style8"/>
        <w:rPr/>
      </w:pPr>
      <w:r>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pPr>
        <w:pStyle w:val="Style8"/>
        <w:rPr/>
      </w:pPr>
      <w:r>
        <w:rPr/>
        <w:t xml:space="preserve">За разлику од линеарне регресије, која предвиђа континуалне вредности, логистичка регресија користи </w:t>
      </w:r>
      <w:r>
        <w:rPr>
          <w:b/>
          <w:bCs/>
        </w:rPr>
        <w:t>логистичку функцију (</w:t>
      </w:r>
      <w:r>
        <w:rPr>
          <w:b/>
          <w:bCs/>
          <w:lang w:val="sr-Latn-RS"/>
        </w:rPr>
        <w:t xml:space="preserve">sigmoid </w:t>
      </w:r>
      <w:r>
        <w:rPr>
          <w:b/>
          <w:bCs/>
        </w:rPr>
        <w:t>функцију)</w:t>
      </w:r>
      <w:r>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pPr>
      <w:r>
        <w:rPr/>
        <w:t>Математички, логистичка функција може се представити следећим изразом:</w:t>
      </w:r>
    </w:p>
    <w:p>
      <w:pPr>
        <w:pStyle w:val="Style8"/>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z</m:t>
                  </m:r>
                </m:sup>
              </m:sSup>
            </m:den>
          </m:f>
        </m:oMath>
      </m:oMathPara>
    </w:p>
    <w:p>
      <w:pPr>
        <w:pStyle w:val="Style8"/>
        <w:jc w:val="center"/>
        <w:rPr/>
      </w:pPr>
      <w:r>
        <w:rPr/>
      </w:r>
      <m:oMathPara xmlns:m="http://schemas.openxmlformats.org/officeDocument/2006/math">
        <m:oMathParaPr>
          <m:jc m:val="center"/>
        </m:oMathParaPr>
        <m:oMath>
          <m:r>
            <w:rPr>
              <w:rFonts w:ascii="Cambria Math" w:hAnsi="Cambria Math"/>
            </w:rPr>
            <m:t xml:space="preserve">z</m:t>
          </m:r>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pPr>
      <w:r>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rPr>
        <w:t>интерпретабилност</w:t>
      </w:r>
      <w:r>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pPr>
      <w:bookmarkStart w:id="22" w:name="__RefHeading___Toc2293_1317292878"/>
      <w:bookmarkStart w:id="23" w:name="_Toc225785072"/>
      <w:bookmarkEnd w:id="22"/>
      <w:r>
        <w:rPr/>
        <w:t>K-Nearest Neighbors (KNN)</w:t>
      </w:r>
      <w:bookmarkEnd w:id="23"/>
    </w:p>
    <w:p>
      <w:pPr>
        <w:pStyle w:val="Style8"/>
        <w:rPr/>
      </w:pPr>
      <w:r>
        <w:rPr/>
        <w:t>Алгоритам К-најближих суседа (К-Nearest Neighbors) 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pPr>
        <w:pStyle w:val="Style8"/>
        <w:rPr/>
      </w:pPr>
      <w:r>
        <w:rPr/>
        <w:t xml:space="preserve">Приликом примене алгоритма, за сваку нову опсервацију одређује се </w:t>
      </w:r>
      <w:r>
        <w:rPr>
          <w:b/>
          <w:bCs/>
        </w:rPr>
        <w:t>К најближих суседа</w:t>
      </w:r>
      <w:r>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pPr>
      <w:r>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pPr>
      <w:r>
        <w:rPr/>
        <w:t>Предност KNN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pPr>
      <w:bookmarkStart w:id="24" w:name="__RefHeading___Toc2295_1317292878"/>
      <w:bookmarkStart w:id="25" w:name="_Toc225785073"/>
      <w:bookmarkEnd w:id="24"/>
      <w:r>
        <w:rPr/>
        <w:t>Support Vector Machine (SVM)</w:t>
      </w:r>
      <w:bookmarkEnd w:id="25"/>
    </w:p>
    <w:p>
      <w:pPr>
        <w:pStyle w:val="Style8"/>
        <w:rPr/>
      </w:pPr>
      <w:r>
        <w:rPr/>
        <w:t>Support Vector Machine (SVM) 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pPr>
        <w:pStyle w:val="Style8"/>
        <w:rPr/>
      </w:pPr>
      <w:r>
        <w:rPr/>
        <w:t xml:space="preserve">SVM 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rPr>
        <w:t>подржавајући вектори (support vectors)</w:t>
      </w:r>
      <w:r>
        <w:rPr/>
        <w:t xml:space="preserve"> и управо оне одређују позицију раздвајајуће границе.</w:t>
      </w:r>
    </w:p>
    <w:p>
      <w:pPr>
        <w:pStyle w:val="Style8"/>
        <w:rPr/>
      </w:pPr>
      <w:r>
        <w:rPr/>
        <w:t xml:space="preserve">У случајевима када подаци нису линеарно раздвојиви, могуће је променити такозвани </w:t>
      </w:r>
      <w:r>
        <w:rPr>
          <w:b/>
          <w:bCs/>
        </w:rPr>
        <w:t>kernel трик</w:t>
      </w:r>
      <w:r>
        <w:rPr/>
        <w:t>, који омогућава трансформацију података у простор веће димензионалности где је могуће пронаћи линеарну границу раздвајања.</w:t>
      </w:r>
    </w:p>
    <w:p>
      <w:pPr>
        <w:pStyle w:val="Style8"/>
        <w:rPr/>
      </w:pPr>
      <w:r>
        <w:rPr/>
        <w:t>SVM 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pPr>
      <w:bookmarkStart w:id="26" w:name="__RefHeading___Toc2297_1317292878"/>
      <w:bookmarkStart w:id="27" w:name="_Toc225785074"/>
      <w:bookmarkEnd w:id="26"/>
      <w:r>
        <w:rPr/>
        <w:t>Random Forest</w:t>
      </w:r>
      <w:bookmarkEnd w:id="27"/>
    </w:p>
    <w:p>
      <w:pPr>
        <w:pStyle w:val="Style8"/>
        <w:rPr/>
      </w:pPr>
      <w:r>
        <w:rPr/>
        <w:t>Random Forest преставља ансамбл метод машинског учења који се заснива на изградњи већег броја одлучујућих стабала (decision trees). Основна идеја овог приступа је да се више модела комбинује како би се добила стабилнија и прецизнија предикција.</w:t>
      </w:r>
    </w:p>
    <w:p>
      <w:pPr>
        <w:pStyle w:val="Style8"/>
        <w:rPr/>
      </w:pPr>
      <w:r>
        <w:rPr/>
        <w:t xml:space="preserve">Свако стабло у Random Forest 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rPr>
        <w:t xml:space="preserve">bagging (bootstrap aggregating), </w:t>
      </w:r>
      <w:r>
        <w:rPr/>
        <w:t>омогућава смањење варијансе модела и побољшање његове способности генерализације.</w:t>
      </w:r>
    </w:p>
    <w:p>
      <w:pPr>
        <w:pStyle w:val="Style8"/>
        <w:rPr/>
      </w:pPr>
      <w:r>
        <w:rPr/>
        <w:t>Коначна предикција Random Forest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pPr>
      <w:r>
        <w:rPr/>
        <w:t xml:space="preserve">Једна од важних карактеристика Random Forest алгоритма јесте могућност процене </w:t>
      </w:r>
      <w:r>
        <w:rPr>
          <w:b/>
          <w:bCs/>
        </w:rPr>
        <w:t xml:space="preserve">значаја обележја (feature importance), </w:t>
      </w:r>
      <w:r>
        <w:rPr/>
        <w:t>што омогућава идентификацију фактора који имају највећи утицај на резултат модела.</w:t>
      </w:r>
    </w:p>
    <w:p>
      <w:pPr>
        <w:pStyle w:val="Style7"/>
        <w:numPr>
          <w:ilvl w:val="2"/>
          <w:numId w:val="1"/>
        </w:numPr>
        <w:ind w:hanging="505" w:left="505"/>
        <w:rPr/>
      </w:pPr>
      <w:bookmarkStart w:id="28" w:name="__RefHeading___Toc2299_1317292878"/>
      <w:bookmarkStart w:id="29" w:name="_Toc225785075"/>
      <w:bookmarkEnd w:id="28"/>
      <w:r>
        <w:rPr/>
        <w:t>XGBoost</w:t>
      </w:r>
      <w:bookmarkEnd w:id="29"/>
    </w:p>
    <w:p>
      <w:pPr>
        <w:pStyle w:val="Style8"/>
        <w:rPr/>
      </w:pPr>
      <w:r>
        <w:rPr/>
        <w:t xml:space="preserve">XGBoost (Extreme Gradient Boosting) представља напредни ансамбл алгоритам заснован на техници </w:t>
      </w:r>
      <w:r>
        <w:rPr>
          <w:b/>
          <w:bCs/>
        </w:rPr>
        <w:t xml:space="preserve">градијентног бустинга. </w:t>
      </w:r>
      <w:r>
        <w:rPr/>
        <w:t>За разлику од bagging приступа који користи Random Forest, бустинг алгоритми граде моделе секвенцијално, тако што сваки нови модел покушава да исправи грешке претходних модела.</w:t>
      </w:r>
    </w:p>
    <w:p>
      <w:pPr>
        <w:pStyle w:val="Style8"/>
        <w:rPr/>
      </w:pPr>
      <w:r>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pPr>
      <w:r>
        <w:rPr/>
        <w:t>XGBoost представља оптимизовану и ефикасну имплементацију овог алгоритма, која укључују механизме као што су:</w:t>
      </w:r>
    </w:p>
    <w:p>
      <w:pPr>
        <w:pStyle w:val="Style8"/>
        <w:numPr>
          <w:ilvl w:val="0"/>
          <w:numId w:val="7"/>
        </w:numPr>
        <w:rPr/>
      </w:pPr>
      <w:r>
        <w:rPr>
          <w:lang w:val="sr-RS"/>
        </w:rPr>
        <w:t>р</w:t>
      </w:r>
      <w:r>
        <w:rPr/>
        <w:t>егуларизација модела,</w:t>
      </w:r>
    </w:p>
    <w:p>
      <w:pPr>
        <w:pStyle w:val="Style8"/>
        <w:numPr>
          <w:ilvl w:val="0"/>
          <w:numId w:val="7"/>
        </w:numPr>
        <w:rPr/>
      </w:pPr>
      <w:r>
        <w:rPr>
          <w:lang w:val="sr-RS"/>
        </w:rPr>
        <w:t>к</w:t>
      </w:r>
      <w:r>
        <w:rPr/>
        <w:t>онтрола сложености стабала,</w:t>
      </w:r>
    </w:p>
    <w:p>
      <w:pPr>
        <w:pStyle w:val="Style8"/>
        <w:numPr>
          <w:ilvl w:val="0"/>
          <w:numId w:val="7"/>
        </w:numPr>
        <w:rPr/>
      </w:pPr>
      <w:r>
        <w:rPr>
          <w:lang w:val="sr-RS"/>
        </w:rPr>
        <w:t>е</w:t>
      </w:r>
      <w:r>
        <w:rPr/>
        <w:t>фикасна обрада великих скупова података.</w:t>
      </w:r>
    </w:p>
    <w:p>
      <w:pPr>
        <w:pStyle w:val="Style8"/>
        <w:rPr/>
      </w:pPr>
      <w:r>
        <w:rPr/>
        <w:t>Захваљујући овим карактеристикама, XGBoost 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pPr>
      <w:bookmarkStart w:id="30" w:name="__RefHeading___Toc2301_1317292878"/>
      <w:bookmarkStart w:id="31" w:name="_Toc225785076"/>
      <w:bookmarkEnd w:id="30"/>
      <w:r>
        <w:rPr/>
        <w:t>Методе интерпретације модела</w:t>
      </w:r>
      <w:bookmarkEnd w:id="31"/>
    </w:p>
    <w:p>
      <w:pPr>
        <w:pStyle w:val="Style8"/>
        <w:rPr/>
      </w:pPr>
      <w:r>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rPr>
        <w:t>интерпретације модела</w:t>
      </w:r>
      <w:r>
        <w:rPr/>
        <w:t>, које омогућавају идентификацију и анализу најзначајнијих предиктора.</w:t>
      </w:r>
    </w:p>
    <w:p>
      <w:pPr>
        <w:pStyle w:val="Style8"/>
        <w:rPr/>
      </w:pPr>
      <w:r>
        <w:rPr/>
        <w:t>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SHAP анализу.</w:t>
      </w:r>
    </w:p>
    <w:p>
      <w:pPr>
        <w:pStyle w:val="Style7"/>
        <w:numPr>
          <w:ilvl w:val="2"/>
          <w:numId w:val="1"/>
        </w:numPr>
        <w:ind w:hanging="505" w:left="505"/>
        <w:rPr/>
      </w:pPr>
      <w:bookmarkStart w:id="32" w:name="__RefHeading___Toc2303_1317292878"/>
      <w:bookmarkStart w:id="33" w:name="_Toc225785077"/>
      <w:bookmarkEnd w:id="32"/>
      <w:r>
        <w:rPr/>
        <w:t>Интерпретација коефицијената логистичке регресије</w:t>
      </w:r>
      <w:bookmarkEnd w:id="33"/>
    </w:p>
    <w:p>
      <w:pPr>
        <w:pStyle w:val="Style8"/>
        <w:rPr/>
      </w:pPr>
      <w:r>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pPr>
        <w:pStyle w:val="Style8"/>
        <w:rPr/>
      </w:pPr>
      <w:r>
        <w:rPr/>
        <w:t xml:space="preserve">Да би се олакшала интерпретација ових коефицијената, често се користи трансформација у </w:t>
      </w:r>
      <w:r>
        <w:rPr>
          <w:b/>
          <w:bCs/>
        </w:rPr>
        <w:t>odds ratio</w:t>
      </w:r>
      <w:r>
        <w:rPr>
          <w:lang w:val="sr-Latn-RS"/>
        </w:rPr>
        <w:t xml:space="preserve"> </w:t>
      </w:r>
      <w:r>
        <w:rPr/>
        <w:t>вредности. Odds ratio представља однос вероватноћа да ће се догађај десити у присуству одређене променљиве у односу на ситуацију када та променљива није присутна. Вредност odds ratio већа од један указује на повећање вероватноће припадности посматраној класи, док вредност мања од један указује на смањење те вероватноће.</w:t>
      </w:r>
    </w:p>
    <w:p>
      <w:pPr>
        <w:pStyle w:val="Style8"/>
        <w:rPr/>
      </w:pPr>
      <w:r>
        <w:rPr/>
        <w:t xml:space="preserve">У контексту овог истраживања, анализа odds ratio 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pPr>
      <w:bookmarkStart w:id="34" w:name="__RefHeading___Toc2305_1317292878"/>
      <w:bookmarkStart w:id="35" w:name="_Toc225785078"/>
      <w:bookmarkEnd w:id="34"/>
      <w:r>
        <w:rPr/>
        <w:t>Значај обележја код ансамбл модела</w:t>
      </w:r>
      <w:bookmarkEnd w:id="35"/>
    </w:p>
    <w:p>
      <w:pPr>
        <w:pStyle w:val="Style8"/>
        <w:rPr/>
      </w:pPr>
      <w:r>
        <w:rPr/>
        <w:t xml:space="preserve">Алгоритми засновани на одлучујућим стаблима, као што су Random Forest и XGBoost, омогућавају процену значаја појединачних обележја у процесу доношења предикције. Мера </w:t>
      </w:r>
      <w:r>
        <w:rPr>
          <w:b/>
          <w:bCs/>
        </w:rPr>
        <w:t>feature importance</w:t>
      </w:r>
      <w:r>
        <w:rPr/>
        <w:t xml:space="preserve"> представља квантитативну процену доприноса сваког обележја у процесу изградње модела.</w:t>
      </w:r>
    </w:p>
    <w:p>
      <w:pPr>
        <w:pStyle w:val="Style8"/>
        <w:rPr/>
      </w:pPr>
      <w:r>
        <w:rPr/>
        <w:t>Код ових алгоритама значај обележја се најчешче одређује на основу смањења мере нечистоће (impurity) 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pPr>
      <w:r>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pPr>
      <w:bookmarkStart w:id="36" w:name="__RefHeading___Toc2307_1317292878"/>
      <w:bookmarkStart w:id="37" w:name="_Toc225785079"/>
      <w:bookmarkEnd w:id="36"/>
      <w:r>
        <w:rPr/>
        <w:t>SHAP анализа</w:t>
      </w:r>
      <w:bookmarkEnd w:id="37"/>
    </w:p>
    <w:p>
      <w:pPr>
        <w:pStyle w:val="Style8"/>
        <w:rPr/>
      </w:pPr>
      <w:r>
        <w:rPr/>
        <w:t>SHAP (SHapley Additive exPlanations) представља савремену методу за интерпретацију модела машинског учења која се заснива на концеприма из теорије игара. Основна идеја SHAP приступа је да се сваком обележју додели вредност која представља његов допринос коначној предикцији модела.</w:t>
      </w:r>
    </w:p>
    <w:p>
      <w:pPr>
        <w:pStyle w:val="Style8"/>
        <w:rPr/>
      </w:pPr>
      <w:r>
        <w:rPr/>
        <w:t>SHAP 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pPr>
      <w:r>
        <w:rPr/>
        <w:t xml:space="preserve">Један од најчешће коришћених визуелних приказа SHAP анализе је </w:t>
      </w:r>
      <w:r>
        <w:rPr>
          <w:b/>
          <w:bCs/>
        </w:rPr>
        <w:t>SHAP summary plot,</w:t>
      </w:r>
      <w:r>
        <w:rPr/>
        <w:t xml:space="preserve"> који приказује расподелу SHAP 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pPr>
      <w:r>
        <w:rPr/>
        <w:t>Примена SHAP 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8"/>
        <w:rPr/>
      </w:pPr>
      <w:r>
        <w:rPr/>
      </w:r>
    </w:p>
    <w:p>
      <w:pPr>
        <w:pStyle w:val="Style8"/>
        <w:rPr/>
      </w:pPr>
      <w:r>
        <w:rPr/>
      </w:r>
    </w:p>
    <w:p>
      <w:pPr>
        <w:pStyle w:val="Style5"/>
        <w:numPr>
          <w:ilvl w:val="0"/>
          <w:numId w:val="1"/>
        </w:numPr>
        <w:ind w:hanging="0" w:left="357"/>
        <w:rPr/>
      </w:pPr>
      <w:bookmarkStart w:id="38" w:name="__RefHeading___Toc2309_1317292878"/>
      <w:bookmarkStart w:id="39" w:name="_Toc225785080"/>
      <w:bookmarkEnd w:id="38"/>
      <w:r>
        <w:rPr/>
        <w:t>Скуп података</w:t>
      </w:r>
      <w:bookmarkEnd w:id="39"/>
    </w:p>
    <w:p>
      <w:pPr>
        <w:pStyle w:val="Style8"/>
        <w:rPr/>
      </w:pPr>
      <w:r>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pPr>
      <w:bookmarkStart w:id="40" w:name="__RefHeading___Toc2311_1317292878"/>
      <w:bookmarkStart w:id="41" w:name="_Toc225785081"/>
      <w:bookmarkEnd w:id="40"/>
      <w:r>
        <w:rPr/>
        <w:t>Порекло и начин прикупљања података</w:t>
      </w:r>
      <w:bookmarkEnd w:id="41"/>
    </w:p>
    <w:p>
      <w:pPr>
        <w:pStyle w:val="Style8"/>
        <w:rPr>
          <w:lang w:val="sr-RS"/>
        </w:rPr>
      </w:pPr>
      <w:r>
        <w:rPr>
          <w:lang w:val="sr-RS"/>
        </w:rPr>
        <w:t>Скуп података коришћен у овом раду формиран је у оквиру истраживања спроведеног у периоду од октобра 2023. до јула 2024. године, са циљем испитивања повезаности образовних и социодемографских карактеристика ученика са њиховим опредељењем ка СТЕМ областима. Истраживањем су обухваћени ученици четири гимназије у Републици Србији, две из Крагујевца и две из Новог Сада. Укупан узорак чинило је 1.044 ученика, од којих је 550 похађао гимназије у Крагујевцу, а 494 гимназије у Новом Саду.</w:t>
      </w:r>
    </w:p>
    <w:p>
      <w:pPr>
        <w:pStyle w:val="Style8"/>
        <w:rPr>
          <w:lang w:val="sr-RS"/>
        </w:rPr>
      </w:pPr>
      <w:r>
        <w:rPr>
          <w:lang w:val="sr-RS"/>
        </w:rPr>
        <w:t>Подаци су прикупљени путем онлајн упитника креираног коришћењем платформе Google Forms. Упитником су прикупљени подаци о социодемографским карактеристикама ученика, породичном окружењу и претходном школском постигнућу, укључујући пол, број браће и сестара, ниво образовања родитеља, место становања и оцене из СТЕМ предмета. Упитник је конструисан за потребе истраживања, при чему су поједина питања заснована на претходно коришћеним истраживачким инструментима, а његову садржинску валидност проверила су два независна експерта.</w:t>
      </w:r>
    </w:p>
    <w:p>
      <w:pPr>
        <w:pStyle w:val="Style8"/>
        <w:rPr>
          <w:lang w:val="sr-RS"/>
        </w:rPr>
      </w:pPr>
      <w:r>
        <w:rPr>
          <w:lang w:val="sr-RS"/>
        </w:rPr>
        <w:t>Учешће ученика у истраживању било је добровољно, а прикупљање података спроведено је у складу са етичким принципима истраживања у образовању. Истраживање је одобрено од стране Етичке комисије Природно-математичког факултета Универзитета у Крагујевцу (бр. 01-06/24).</w:t>
      </w:r>
    </w:p>
    <w:p>
      <w:pPr>
        <w:pStyle w:val="Style8"/>
        <w:rPr>
          <w:lang w:val="sr-RS"/>
        </w:rPr>
      </w:pPr>
      <w:r>
        <w:rPr>
          <w:lang w:val="sr-RS"/>
        </w:rPr>
        <w:t xml:space="preserve">Детаљан опис методологије прикупљања података и карактеристика узорка дат је у раду [1]. </w:t>
      </w:r>
    </w:p>
    <w:p>
      <w:pPr>
        <w:pStyle w:val="Style6"/>
        <w:numPr>
          <w:ilvl w:val="1"/>
          <w:numId w:val="1"/>
        </w:numPr>
        <w:ind w:hanging="567" w:left="567"/>
        <w:rPr/>
      </w:pPr>
      <w:bookmarkStart w:id="42" w:name="__RefHeading___Toc2313_1317292878"/>
      <w:bookmarkStart w:id="43" w:name="_Toc225785082"/>
      <w:bookmarkEnd w:id="42"/>
      <w:r>
        <w:rPr/>
        <w:t>Структура и димензије скупа података</w:t>
      </w:r>
      <w:bookmarkEnd w:id="43"/>
    </w:p>
    <w:p>
      <w:pPr>
        <w:pStyle w:val="Style8"/>
        <w:rPr/>
      </w:pPr>
      <w:r>
        <w:rPr/>
        <w:t>Скуп података који је коришћен у овом истраживању састоји се од укупно 1044 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pPr>
      <w:r>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pPr>
      <w:r>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pPr>
      <w:r>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pPr>
      <w:r>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pPr>
      <w:r>
        <w:rPr/>
        <w:t xml:space="preserve">Поред структурираних обележја, скуп података садржи и одређени број </w:t>
      </w:r>
      <w:r>
        <w:rPr>
          <w:b/>
          <w:bCs/>
        </w:rPr>
        <w:t>текстуалних (отворених) одговора</w:t>
      </w:r>
      <w:r>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pPr>
      <w:r>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ind w:hanging="0"/>
        <w:rPr>
          <w:lang w:val="sr-Latn-RS"/>
        </w:rPr>
      </w:pPr>
      <w:r>
        <w:rPr>
          <w:lang w:val="sr-Latn-RS"/>
        </w:rPr>
      </w:r>
    </w:p>
    <w:p>
      <w:pPr>
        <w:pStyle w:val="Style6"/>
        <w:numPr>
          <w:ilvl w:val="1"/>
          <w:numId w:val="1"/>
        </w:numPr>
        <w:ind w:hanging="567" w:left="567"/>
        <w:rPr/>
      </w:pPr>
      <w:bookmarkStart w:id="44" w:name="__RefHeading___Toc2315_1317292878"/>
      <w:bookmarkStart w:id="45" w:name="_Toc225785083"/>
      <w:bookmarkEnd w:id="44"/>
      <w:r>
        <w:rPr/>
        <w:t>Типови обележја</w:t>
      </w:r>
      <w:bookmarkEnd w:id="45"/>
    </w:p>
    <w:p>
      <w:pPr>
        <w:pStyle w:val="Style8"/>
        <w:rPr/>
      </w:pPr>
      <w:r>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pPr>
      <w:r>
        <w:rPr>
          <w:b/>
          <w:bCs/>
        </w:rPr>
        <w:t>Нумеричка обележја</w:t>
      </w:r>
      <w:r>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pPr>
      <w:r>
        <w:rPr>
          <w:b/>
          <w:bCs/>
        </w:rPr>
        <w:t>Категоријска обележја</w:t>
      </w:r>
      <w:r>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pPr>
      <w:r>
        <w:rPr/>
        <w:t xml:space="preserve">Посебну категорију чине </w:t>
      </w:r>
      <w:r>
        <w:rPr>
          <w:b/>
          <w:bCs/>
        </w:rPr>
        <w:t>ординална обележја</w:t>
      </w:r>
      <w:r>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pPr>
      <w:r>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pPr>
      <w:r>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pPr>
      <w:bookmarkStart w:id="46" w:name="__RefHeading___Toc2317_1317292878"/>
      <w:bookmarkStart w:id="47" w:name="_Toc225785084"/>
      <w:bookmarkEnd w:id="46"/>
      <w:r>
        <w:rPr/>
        <w:t>Дефинисање циљне променљиве (СТЕМ vs. НЕ-СТЕМ)</w:t>
      </w:r>
      <w:bookmarkEnd w:id="47"/>
    </w:p>
    <w:p>
      <w:pPr>
        <w:pStyle w:val="Style8"/>
        <w:rPr/>
      </w:pPr>
      <w:r>
        <w:rPr/>
        <w:t xml:space="preserve">Циљна променљива у овом истраживању односи се на опредељење ученика ка СТЕМ или </w:t>
      </w:r>
      <w:r>
        <w:rPr>
          <w:lang w:val="sr-RS"/>
        </w:rPr>
        <w:t>НЕ</w:t>
      </w:r>
      <w:r>
        <w:rPr/>
        <w:t>-СТЕМ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pPr>
      <w:r>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pPr>
      <w:r>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pPr>
      <w:r>
        <w:rPr/>
        <w:t>Н</w:t>
      </w:r>
      <w:r>
        <w:rPr>
          <w:lang w:val="sr-RS"/>
        </w:rPr>
        <w:t>Е</w:t>
      </w:r>
      <w:r>
        <w:rPr/>
        <w:t>-СТЕМ смерови, који обухватају друштвене, језичке и друге области које не припадају СТЕМ домену.</w:t>
      </w:r>
    </w:p>
    <w:p>
      <w:pPr>
        <w:pStyle w:val="Style8"/>
        <w:rPr/>
      </w:pPr>
      <w:r>
        <w:rPr/>
        <w:t>У СТЕМ категорију сврстани су следећи смерови:</w:t>
      </w:r>
    </w:p>
    <w:p>
      <w:pPr>
        <w:pStyle w:val="Style8"/>
        <w:numPr>
          <w:ilvl w:val="0"/>
          <w:numId w:val="9"/>
        </w:numPr>
        <w:rPr/>
      </w:pPr>
      <w:r>
        <w:rPr>
          <w:lang w:val="sr-RS"/>
        </w:rPr>
        <w:t>с</w:t>
      </w:r>
      <w:r>
        <w:rPr/>
        <w:t>пецијализовано одељење за ученике са посебним способностима за математику</w:t>
      </w:r>
      <w:r>
        <w:rPr>
          <w:lang w:val="sr-RS"/>
        </w:rPr>
        <w:t>,</w:t>
      </w:r>
    </w:p>
    <w:p>
      <w:pPr>
        <w:pStyle w:val="Style8"/>
        <w:numPr>
          <w:ilvl w:val="0"/>
          <w:numId w:val="9"/>
        </w:numPr>
        <w:rPr/>
      </w:pPr>
      <w:r>
        <w:rPr>
          <w:lang w:val="sr-RS"/>
        </w:rPr>
        <w:t>с</w:t>
      </w:r>
      <w:r>
        <w:rPr/>
        <w:t>пецијализовано одељење за ученике са посебним способностима за информатику</w:t>
      </w:r>
      <w:r>
        <w:rPr>
          <w:lang w:val="sr-RS"/>
        </w:rPr>
        <w:t>,</w:t>
      </w:r>
    </w:p>
    <w:p>
      <w:pPr>
        <w:pStyle w:val="Style8"/>
        <w:numPr>
          <w:ilvl w:val="0"/>
          <w:numId w:val="9"/>
        </w:numPr>
        <w:rPr/>
      </w:pPr>
      <w:r>
        <w:rPr>
          <w:lang w:val="sr-RS"/>
        </w:rPr>
        <w:t>с</w:t>
      </w:r>
      <w:r>
        <w:rPr/>
        <w:t>пецијализовано одељење за ученике са посебним способностима за физику</w:t>
      </w:r>
      <w:r>
        <w:rPr>
          <w:lang w:val="sr-RS"/>
        </w:rPr>
        <w:t>,</w:t>
      </w:r>
    </w:p>
    <w:p>
      <w:pPr>
        <w:pStyle w:val="Style8"/>
        <w:numPr>
          <w:ilvl w:val="0"/>
          <w:numId w:val="9"/>
        </w:numPr>
        <w:rPr/>
      </w:pPr>
      <w:r>
        <w:rPr>
          <w:lang w:val="sr-RS"/>
        </w:rPr>
        <w:t>с</w:t>
      </w:r>
      <w:r>
        <w:rPr/>
        <w:t>пецијализовано одељење за ученике са посебним способностима за биологију и хемију</w:t>
      </w:r>
      <w:r>
        <w:rPr>
          <w:lang w:val="sr-RS"/>
        </w:rPr>
        <w:t>,</w:t>
      </w:r>
    </w:p>
    <w:p>
      <w:pPr>
        <w:pStyle w:val="Style8"/>
        <w:numPr>
          <w:ilvl w:val="0"/>
          <w:numId w:val="9"/>
        </w:numPr>
        <w:rPr/>
      </w:pPr>
      <w:r>
        <w:rPr>
          <w:lang w:val="sr-RS"/>
        </w:rPr>
        <w:t>п</w:t>
      </w:r>
      <w:r>
        <w:rPr/>
        <w:t>риродно-математички смер</w:t>
      </w:r>
      <w:r>
        <w:rPr>
          <w:lang w:val="sr-RS"/>
        </w:rPr>
        <w:t>.</w:t>
      </w:r>
    </w:p>
    <w:p>
      <w:pPr>
        <w:pStyle w:val="Style8"/>
        <w:rPr>
          <w:lang w:val="sr-Latn-RS"/>
        </w:rPr>
      </w:pPr>
      <w:r>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pPr>
      <w:r>
        <w:rPr>
          <w:lang w:val="sr-RS"/>
        </w:rPr>
        <w:t>б</w:t>
      </w:r>
      <w:r>
        <w:rPr/>
        <w:t>илингвално одељење</w:t>
      </w:r>
      <w:r>
        <w:rPr>
          <w:lang w:val="sr-RS"/>
        </w:rPr>
        <w:t>,</w:t>
      </w:r>
    </w:p>
    <w:p>
      <w:pPr>
        <w:pStyle w:val="Style8"/>
        <w:numPr>
          <w:ilvl w:val="0"/>
          <w:numId w:val="10"/>
        </w:numPr>
        <w:rPr/>
      </w:pPr>
      <w:r>
        <w:rPr>
          <w:lang w:val="sr-RS"/>
        </w:rPr>
        <w:t>д</w:t>
      </w:r>
      <w:r>
        <w:rPr/>
        <w:t>руштвено-језички смер</w:t>
      </w:r>
      <w:r>
        <w:rPr>
          <w:lang w:val="sr-RS"/>
        </w:rPr>
        <w:t>,</w:t>
      </w:r>
    </w:p>
    <w:p>
      <w:pPr>
        <w:pStyle w:val="Style8"/>
        <w:numPr>
          <w:ilvl w:val="0"/>
          <w:numId w:val="10"/>
        </w:numPr>
        <w:rPr/>
      </w:pPr>
      <w:r>
        <w:rPr>
          <w:lang w:val="sr-RS"/>
        </w:rPr>
        <w:t>с</w:t>
      </w:r>
      <w:r>
        <w:rPr/>
        <w:t>пецијализовано одељење за ученике са посебним способностима за спорт</w:t>
      </w:r>
      <w:r>
        <w:rPr>
          <w:lang w:val="sr-RS"/>
        </w:rPr>
        <w:t>,</w:t>
      </w:r>
    </w:p>
    <w:p>
      <w:pPr>
        <w:pStyle w:val="Style8"/>
        <w:numPr>
          <w:ilvl w:val="0"/>
          <w:numId w:val="10"/>
        </w:numPr>
        <w:rPr/>
      </w:pPr>
      <w:r>
        <w:rPr>
          <w:lang w:val="sr-RS"/>
        </w:rPr>
        <w:t>с</w:t>
      </w:r>
      <w:r>
        <w:rPr/>
        <w:t>пецијализовано одељење за ученике са посебним способностима за филолошке науке</w:t>
      </w:r>
      <w:r>
        <w:rPr>
          <w:lang w:val="sr-RS"/>
        </w:rPr>
        <w:t>,</w:t>
      </w:r>
    </w:p>
    <w:p>
      <w:pPr>
        <w:pStyle w:val="Style8"/>
        <w:numPr>
          <w:ilvl w:val="0"/>
          <w:numId w:val="10"/>
        </w:numPr>
        <w:rPr/>
      </w:pPr>
      <w:r>
        <w:rPr>
          <w:lang w:val="sr-RS"/>
        </w:rPr>
        <w:t>о</w:t>
      </w:r>
      <w:r>
        <w:rPr/>
        <w:t>пшти смер</w:t>
      </w:r>
      <w:r>
        <w:rPr>
          <w:lang w:val="sr-RS"/>
        </w:rPr>
        <w:t>.</w:t>
      </w:r>
    </w:p>
    <w:p>
      <w:pPr>
        <w:pStyle w:val="Style8"/>
        <w:rPr/>
      </w:pPr>
      <w:r>
        <w:rPr/>
        <w:t>На основу ове поделе, конструисана је нова бинарна циљна променљива, при чему вредност:</w:t>
      </w:r>
    </w:p>
    <w:p>
      <w:pPr>
        <w:pStyle w:val="Style8"/>
        <w:numPr>
          <w:ilvl w:val="0"/>
          <w:numId w:val="11"/>
        </w:numPr>
        <w:rPr/>
      </w:pPr>
      <w:r>
        <w:rPr/>
        <w:t>1 означава да ученик припада СТЕМ групи,</w:t>
      </w:r>
    </w:p>
    <w:p>
      <w:pPr>
        <w:pStyle w:val="Style8"/>
        <w:numPr>
          <w:ilvl w:val="0"/>
          <w:numId w:val="11"/>
        </w:numPr>
        <w:rPr/>
      </w:pPr>
      <w:r>
        <w:rPr/>
        <w:t>0 означава да ученик припада Н</w:t>
      </w:r>
      <w:r>
        <w:rPr>
          <w:lang w:val="sr-RS"/>
        </w:rPr>
        <w:t>Е</w:t>
      </w:r>
      <w:r>
        <w:rPr/>
        <w:t>-СТЕМ групи.</w:t>
      </w:r>
    </w:p>
    <w:p>
      <w:pPr>
        <w:pStyle w:val="Style8"/>
        <w:rPr/>
      </w:pPr>
      <w:r>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w:t>
      </w:r>
      <w:r>
        <w:rPr>
          <w:lang w:val="sr-RS"/>
        </w:rPr>
        <w:t>Е</w:t>
      </w:r>
      <w:r>
        <w:rPr/>
        <w:t>-СТЕМ областима.</w:t>
      </w:r>
    </w:p>
    <w:p>
      <w:pPr>
        <w:pStyle w:val="Style8"/>
        <w:rPr/>
      </w:pPr>
      <w:r>
        <w:rPr/>
        <w:t xml:space="preserve">Важно је напоменути да оваква категоризација подразумева одређено поједностављење, јер неки образовни програми могу садржати елементе и СТЕМ и </w:t>
      </w:r>
      <w:r>
        <w:rPr>
          <w:lang w:val="sr-RS"/>
        </w:rPr>
        <w:t>НЕ</w:t>
      </w:r>
      <w:r>
        <w:rPr/>
        <w:t>-СТЕМ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pPr>
      <w:bookmarkStart w:id="48" w:name="__RefHeading___Toc2319_1317292878"/>
      <w:bookmarkStart w:id="49" w:name="_Toc225785085"/>
      <w:bookmarkEnd w:id="48"/>
      <w:r>
        <w:rPr/>
        <w:t>Расподела циљне променљиве (баланс класа)</w:t>
      </w:r>
      <w:bookmarkEnd w:id="49"/>
    </w:p>
    <w:p>
      <w:pPr>
        <w:pStyle w:val="Style8"/>
        <w:rPr/>
      </w:pPr>
      <w:r>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pPr>
      <w:r>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pPr>
      <w:r>
        <w:rPr/>
        <w:t>СТЕМ класа: 434 ученика</w:t>
      </w:r>
    </w:p>
    <w:p>
      <w:pPr>
        <w:pStyle w:val="Style8"/>
        <w:numPr>
          <w:ilvl w:val="0"/>
          <w:numId w:val="12"/>
        </w:numPr>
        <w:rPr/>
      </w:pPr>
      <w:r>
        <w:rPr/>
        <w:t>Н</w:t>
      </w:r>
      <w:r>
        <w:rPr>
          <w:lang w:val="sr-RS"/>
        </w:rPr>
        <w:t>Е</w:t>
      </w:r>
      <w:r>
        <w:rPr/>
        <w:t>-СТЕМ класа: 610 ученика</w:t>
      </w:r>
    </w:p>
    <w:p>
      <w:pPr>
        <w:pStyle w:val="Style8"/>
        <w:rPr/>
      </w:pPr>
      <w:r>
        <w:rPr/>
        <w:t>Посматрано у процентима, СТЕМ класа чини приближно 41,5%, док Н</w:t>
      </w:r>
      <w:r>
        <w:rPr>
          <w:lang w:val="sr-RS"/>
        </w:rPr>
        <w:t>Е</w:t>
      </w:r>
      <w:r>
        <w:rPr/>
        <w:t>-СТЕМ класа чини око 58,5% укупног скупа података.</w:t>
      </w:r>
    </w:p>
    <w:p>
      <w:pPr>
        <w:pStyle w:val="Style8"/>
        <w:rPr/>
      </w:pPr>
      <w:r>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en-GB"/>
        </w:rPr>
      </w:pPr>
      <w:r>
        <w:rPr/>
        <w:t>У циљу бољег увида у расподелу класа, препоручљиво је представити ове податке и графички</w:t>
      </w:r>
      <w:r>
        <w:rPr>
          <w:lang w:val="sr-RS"/>
        </w:rPr>
        <w:t xml:space="preserve"> (</w:t>
      </w:r>
      <w:r>
        <w:rPr/>
        <w:fldChar w:fldCharType="begin"/>
      </w:r>
      <w:r>
        <w:rPr/>
        <w:instrText xml:space="preserve"> REF _Ref239559400 \h </w:instrText>
      </w:r>
      <w:r>
        <w:rPr/>
        <w:fldChar w:fldCharType="separate"/>
      </w:r>
      <w:r>
        <w:rPr/>
        <w:t>Слика 1</w:t>
      </w:r>
      <w:r>
        <w:rPr/>
        <w:fldChar w:fldCharType="end"/>
      </w:r>
      <w:r>
        <w:rPr>
          <w:lang w:val="en-GB"/>
        </w:rPr>
        <w:t>)</w:t>
      </w:r>
      <w:r>
        <w:rPr/>
        <w:t>.</w:t>
      </w:r>
    </w:p>
    <w:p>
      <w:pPr>
        <w:pStyle w:val="Style8"/>
        <w:keepNext w:val="true"/>
        <w:ind w:hanging="0"/>
        <w:jc w:val="center"/>
        <w:rPr/>
      </w:pPr>
      <w:r>
        <w:rPr/>
        <w:drawing>
          <wp:inline distT="0" distB="0" distL="0" distR="0">
            <wp:extent cx="3624580" cy="252666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3624580" cy="2526665"/>
                    </a:xfrm>
                    <a:prstGeom prst="rect">
                      <a:avLst/>
                    </a:prstGeom>
                    <a:noFill/>
                  </pic:spPr>
                </pic:pic>
              </a:graphicData>
            </a:graphic>
          </wp:inline>
        </w:drawing>
      </w:r>
    </w:p>
    <w:p>
      <w:pPr>
        <w:pStyle w:val="Caption"/>
        <w:jc w:val="center"/>
        <w:rPr>
          <w:lang w:val="sr-RS"/>
        </w:rPr>
      </w:pPr>
      <w:bookmarkStart w:id="50" w:name="_Ref239559400"/>
      <w:r>
        <w:rPr/>
        <w:t xml:space="preserve">Слика </w:t>
      </w:r>
      <w:r>
        <w:rPr/>
        <w:fldChar w:fldCharType="begin"/>
      </w:r>
      <w:r>
        <w:rPr/>
        <w:instrText xml:space="preserve"> SEQ Слика \* ARABIC </w:instrText>
      </w:r>
      <w:r>
        <w:rPr/>
        <w:fldChar w:fldCharType="separate"/>
      </w:r>
      <w:r>
        <w:rPr/>
        <w:t>1</w:t>
      </w:r>
      <w:r>
        <w:rPr/>
        <w:fldChar w:fldCharType="end"/>
      </w:r>
      <w:bookmarkEnd w:id="50"/>
      <w:r>
        <w:rPr>
          <w:lang w:val="sr-RS"/>
        </w:rPr>
        <w:t>. Расподела циљне променљиве</w:t>
      </w:r>
    </w:p>
    <w:p>
      <w:pPr>
        <w:pStyle w:val="Style8"/>
        <w:rPr/>
      </w:pPr>
      <w:r>
        <w:rPr/>
        <w:t>С обзиром на постојећу расподелу, у даљој анализи биће коришћене метрике као што су F</w:t>
      </w:r>
      <w:r>
        <w:rPr>
          <w:lang w:val="sr-RS"/>
        </w:rPr>
        <w:t xml:space="preserve">1 </w:t>
      </w:r>
      <w:r>
        <w:rPr/>
        <w:t>score</w:t>
      </w:r>
      <w:r>
        <w:rPr>
          <w:lang w:val="sr-RS"/>
        </w:rPr>
        <w:t xml:space="preserve">, </w:t>
      </w:r>
      <w:r>
        <w:rPr/>
        <w:t>precision</w:t>
      </w:r>
      <w:r>
        <w:rPr>
          <w:lang w:val="sr-RS"/>
        </w:rPr>
        <w:t xml:space="preserve"> </w:t>
      </w:r>
      <w:r>
        <w:rPr/>
        <w:t>и</w:t>
      </w:r>
      <w:r>
        <w:rPr>
          <w:lang w:val="sr-RS"/>
        </w:rPr>
        <w:t xml:space="preserve"> </w:t>
      </w:r>
      <w:r>
        <w:rPr/>
        <w:t>recall</w:t>
      </w:r>
      <w:r>
        <w:rPr>
          <w:lang w:val="sr-RS"/>
        </w:rPr>
        <w:t>,</w:t>
      </w:r>
      <w:r>
        <w:rPr/>
        <w:t xml:space="preserve"> које су погодније за евалуацију модела у случајевима када класе нису савршено избалансиране.</w:t>
      </w:r>
      <w:r>
        <w:rPr>
          <w:lang w:val="sr-RS"/>
        </w:rPr>
        <w:t xml:space="preserve"> </w:t>
      </w:r>
    </w:p>
    <w:p>
      <w:pPr>
        <w:pStyle w:val="Style6"/>
        <w:numPr>
          <w:ilvl w:val="1"/>
          <w:numId w:val="1"/>
        </w:numPr>
        <w:ind w:hanging="567" w:left="567"/>
        <w:rPr/>
      </w:pPr>
      <w:bookmarkStart w:id="51" w:name="__RefHeading___Toc2321_1317292878"/>
      <w:bookmarkStart w:id="52" w:name="_Toc225785086"/>
      <w:bookmarkEnd w:id="51"/>
      <w:r>
        <w:rPr/>
        <w:t>Ограничења скупа података</w:t>
      </w:r>
      <w:bookmarkEnd w:id="52"/>
    </w:p>
    <w:p>
      <w:pPr>
        <w:pStyle w:val="Style8"/>
        <w:rPr/>
      </w:pPr>
      <w:r>
        <w:rPr/>
      </w:r>
    </w:p>
    <w:p>
      <w:pPr>
        <w:pStyle w:val="Style8"/>
        <w:rPr/>
      </w:pPr>
      <w:r>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pPr>
      <w:r>
        <w:rPr/>
        <w:t xml:space="preserve">Једно од основних ограничења односи се на чињеницу да су подаци прикупљени путем анкетног упитника, што подразумева </w:t>
      </w:r>
      <w:r>
        <w:rPr>
          <w:b/>
          <w:bCs/>
        </w:rPr>
        <w:t>субјективност одговора ученика</w:t>
      </w:r>
      <w:r>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pPr>
      <w:r>
        <w:rPr/>
        <w:t xml:space="preserve">Додатно, истраживање је спроведено на узорку ученика који похађају </w:t>
      </w:r>
      <w:r>
        <w:rPr>
          <w:b/>
          <w:bCs/>
        </w:rPr>
        <w:t>гимназије</w:t>
      </w:r>
      <w:r>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pPr>
      <w:r>
        <w:rPr/>
        <w:t xml:space="preserve">Још једно важно ограничење односи се на присуство </w:t>
      </w:r>
      <w:r>
        <w:rPr>
          <w:b/>
          <w:bCs/>
        </w:rPr>
        <w:t>текстуалних (отворених) одговора</w:t>
      </w:r>
      <w:r>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pPr>
      <w:r>
        <w:rPr/>
        <w:t xml:space="preserve">Такође, у скупу података могу постојати </w:t>
      </w:r>
      <w:r>
        <w:rPr>
          <w:b/>
          <w:bCs/>
        </w:rPr>
        <w:t>недостајуће или неконзистентне вредности</w:t>
      </w:r>
      <w:r>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pPr>
      <w:r>
        <w:rPr/>
        <w:t>Коначно, потребно је напоменути да дефинисање циљне променљиве као бинарне класификације (СТЕМ vs. НЕ-СТЕМ)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pPr>
      <w:r>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pPr>
      <w:r>
        <w:rPr/>
      </w:r>
    </w:p>
    <w:p>
      <w:pPr>
        <w:pStyle w:val="Style8"/>
        <w:rPr/>
      </w:pPr>
      <w:r>
        <w:rPr/>
      </w:r>
    </w:p>
    <w:p>
      <w:pPr>
        <w:pStyle w:val="Style5"/>
        <w:numPr>
          <w:ilvl w:val="0"/>
          <w:numId w:val="1"/>
        </w:numPr>
        <w:ind w:hanging="0" w:left="357"/>
        <w:rPr/>
      </w:pPr>
      <w:bookmarkStart w:id="53" w:name="__RefHeading___Toc2323_1317292878"/>
      <w:bookmarkStart w:id="54" w:name="_Toc225785087"/>
      <w:bookmarkEnd w:id="53"/>
      <w:r>
        <w:rPr/>
        <w:t>Експлораторна анализа података (ЕДА)</w:t>
      </w:r>
      <w:bookmarkEnd w:id="54"/>
    </w:p>
    <w:p>
      <w:pPr>
        <w:pStyle w:val="Style8"/>
        <w:rPr/>
      </w:pPr>
      <w:r>
        <w:rPr/>
        <w:t>Експлораторна анализа података (EDA)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pPr>
      <w:r>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pPr>
      <w:bookmarkStart w:id="55" w:name="__RefHeading___Toc2325_1317292878"/>
      <w:bookmarkStart w:id="56" w:name="_Toc225785088"/>
      <w:bookmarkEnd w:id="55"/>
      <w:r>
        <w:rPr/>
        <w:t>Дескриптивна статистика нумеричких обележја</w:t>
      </w:r>
      <w:bookmarkEnd w:id="56"/>
    </w:p>
    <w:p>
      <w:pPr>
        <w:pStyle w:val="Style8"/>
        <w:rPr/>
      </w:pPr>
      <w:r>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r>
        <w:rPr>
          <w:lang w:val="sr-RS"/>
        </w:rPr>
        <w:t xml:space="preserve"> (</w:t>
      </w:r>
      <w:r>
        <w:rPr/>
        <w:fldChar w:fldCharType="begin"/>
      </w:r>
      <w:r>
        <w:rPr/>
        <w:instrText xml:space="preserve"> REF _Ref239600001 \h </w:instrText>
      </w:r>
      <w:r>
        <w:rPr/>
        <w:fldChar w:fldCharType="separate"/>
      </w:r>
      <w:r>
        <w:rPr/>
        <w:t>Слика 2</w:t>
      </w:r>
      <w:r>
        <w:rPr/>
        <w:fldChar w:fldCharType="end"/>
      </w:r>
      <w:r>
        <w:rPr/>
        <w:t>).</w:t>
      </w:r>
    </w:p>
    <w:p>
      <w:pPr>
        <w:pStyle w:val="Style8"/>
        <w:keepNext w:val="true"/>
        <w:ind w:hanging="0"/>
        <w:rPr/>
      </w:pPr>
      <w:r>
        <w:rPr/>
        <w:drawing>
          <wp:inline distT="0" distB="0" distL="0" distR="0">
            <wp:extent cx="5732145" cy="164211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32145" cy="1642110"/>
                    </a:xfrm>
                    <a:prstGeom prst="rect">
                      <a:avLst/>
                    </a:prstGeom>
                    <a:noFill/>
                  </pic:spPr>
                </pic:pic>
              </a:graphicData>
            </a:graphic>
          </wp:inline>
        </w:drawing>
      </w:r>
    </w:p>
    <w:p>
      <w:pPr>
        <w:pStyle w:val="Caption"/>
        <w:jc w:val="center"/>
        <w:rPr/>
      </w:pPr>
      <w:bookmarkStart w:id="57" w:name="_Ref239600001"/>
      <w:r>
        <w:rPr/>
        <w:t xml:space="preserve">Слика </w:t>
      </w:r>
      <w:r>
        <w:rPr/>
        <w:fldChar w:fldCharType="begin"/>
      </w:r>
      <w:r>
        <w:rPr/>
        <w:instrText xml:space="preserve"> SEQ Слика \* ARABIC </w:instrText>
      </w:r>
      <w:r>
        <w:rPr/>
        <w:fldChar w:fldCharType="separate"/>
      </w:r>
      <w:r>
        <w:rPr/>
        <w:t>2</w:t>
      </w:r>
      <w:r>
        <w:rPr/>
        <w:fldChar w:fldCharType="end"/>
      </w:r>
      <w:bookmarkEnd w:id="57"/>
      <w:r>
        <w:rPr>
          <w:lang w:val="sr-RS"/>
        </w:rPr>
        <w:t>. Основне описне мере нумеричких обележја</w:t>
      </w:r>
    </w:p>
    <w:p>
      <w:pPr>
        <w:pStyle w:val="Style8"/>
        <w:rPr/>
      </w:pPr>
      <w:r>
        <w:rPr/>
        <w:t xml:space="preserve">Анализа је показала да ученици у просеку остварују </w:t>
      </w:r>
      <w:r>
        <w:rPr>
          <w:b/>
          <w:bCs/>
        </w:rPr>
        <w:t>високе оцене у већини предмета</w:t>
      </w:r>
      <w:r>
        <w:rPr/>
        <w:t xml:space="preserve">, при чему се средње вредности крећу углавном између 4.5 и 4.9. На пример, просечна оцена из информатике износи приближно </w:t>
      </w:r>
      <w:r>
        <w:rPr>
          <w:b/>
          <w:bCs/>
        </w:rPr>
        <w:t>4.91</w:t>
      </w:r>
      <w:r>
        <w:rPr/>
        <w:t xml:space="preserve">, док је из српског језика и књижевности око </w:t>
      </w:r>
      <w:r>
        <w:rPr>
          <w:b/>
          <w:bCs/>
        </w:rPr>
        <w:t>4.77</w:t>
      </w:r>
      <w:r>
        <w:rPr/>
        <w:t>, што указује на генерално висок школски успех испитаника.</w:t>
      </w:r>
    </w:p>
    <w:p>
      <w:pPr>
        <w:pStyle w:val="Style8"/>
        <w:rPr>
          <w:lang w:val="sr-RS"/>
        </w:rPr>
      </w:pPr>
      <w:r>
        <w:rPr/>
        <w:t xml:space="preserve">Са друге стране, приметно је да су просечне оцене из предмета као што су </w:t>
      </w:r>
      <w:r>
        <w:rPr>
          <w:b/>
          <w:bCs/>
        </w:rPr>
        <w:t>математика</w:t>
      </w:r>
      <w:r>
        <w:rPr/>
        <w:t xml:space="preserve"> </w:t>
      </w:r>
      <w:r>
        <w:rPr>
          <w:b/>
          <w:bCs/>
        </w:rPr>
        <w:t>(~4.55), физика (~4.59) и хемија (~4.60)</w:t>
      </w:r>
      <w:r>
        <w:rPr/>
        <w:t xml:space="preserve"> нешто ниже у односу на остале предмете. Разлике у перцепцији тежине ових предмета детаљније су анализиране у наставку рада на основу одговарајућих анкетних обележја.</w:t>
      </w:r>
    </w:p>
    <w:p>
      <w:pPr>
        <w:pStyle w:val="Style8"/>
        <w:rPr/>
      </w:pPr>
      <w:r>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pPr>
      <w:r>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rPr>
        <w:t>математика (std ~ 0.82) и физика (std ~ 0.77)</w:t>
      </w:r>
      <w:r>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rPr>
        <w:t>(std ~ 0.55)</w:t>
      </w:r>
      <w:r>
        <w:rPr/>
        <w:t xml:space="preserve"> што значи да су оцене уједначеније.</w:t>
      </w:r>
    </w:p>
    <w:p>
      <w:pPr>
        <w:pStyle w:val="Style8"/>
        <w:rPr/>
      </w:pPr>
      <w:r>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keepNext w:val="true"/>
        <w:ind w:hanging="0"/>
        <w:jc w:val="center"/>
        <w:rPr/>
      </w:pPr>
      <w:r>
        <w:rPr/>
        <w:drawing>
          <wp:inline distT="0" distB="0" distL="0" distR="0">
            <wp:extent cx="3620135" cy="25038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615" t="763" r="1169" b="0"/>
                    <a:stretch>
                      <a:fillRect/>
                    </a:stretch>
                  </pic:blipFill>
                  <pic:spPr bwMode="auto">
                    <a:xfrm>
                      <a:off x="0" y="0"/>
                      <a:ext cx="3620135" cy="2503805"/>
                    </a:xfrm>
                    <a:prstGeom prst="rect">
                      <a:avLst/>
                    </a:prstGeom>
                    <a:noFill/>
                  </pic:spPr>
                </pic:pic>
              </a:graphicData>
            </a:graphic>
          </wp:inline>
        </w:drawing>
      </w:r>
    </w:p>
    <w:p>
      <w:pPr>
        <w:pStyle w:val="Caption"/>
        <w:jc w:val="center"/>
        <w:rPr>
          <w:lang w:val="sr-RS"/>
        </w:rPr>
      </w:pPr>
      <w:bookmarkStart w:id="58" w:name="_Ref239560518"/>
      <w:r>
        <w:rPr/>
        <w:t xml:space="preserve">Слика </w:t>
      </w:r>
      <w:r>
        <w:rPr/>
        <w:fldChar w:fldCharType="begin"/>
      </w:r>
      <w:r>
        <w:rPr/>
        <w:instrText xml:space="preserve"> SEQ Слика \* ARABIC </w:instrText>
      </w:r>
      <w:r>
        <w:rPr/>
        <w:fldChar w:fldCharType="separate"/>
      </w:r>
      <w:r>
        <w:rPr/>
        <w:t>3</w:t>
      </w:r>
      <w:r>
        <w:rPr/>
        <w:fldChar w:fldCharType="end"/>
      </w:r>
      <w:bookmarkEnd w:id="58"/>
      <w:r>
        <w:rPr>
          <w:lang w:val="sr-RS"/>
        </w:rPr>
        <w:t>. Расподела оцена по предметима</w:t>
      </w:r>
    </w:p>
    <w:p>
      <w:pPr>
        <w:pStyle w:val="Style8"/>
        <w:rPr/>
      </w:pPr>
      <w:r>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r>
        <w:rPr>
          <w:lang w:val="sr-RS"/>
        </w:rPr>
        <w:t xml:space="preserve"> (</w:t>
      </w:r>
      <w:r>
        <w:rPr/>
        <w:fldChar w:fldCharType="begin"/>
      </w:r>
      <w:r>
        <w:rPr/>
        <w:instrText xml:space="preserve"> REF _Ref239560518 \h </w:instrText>
      </w:r>
      <w:r>
        <w:rPr/>
        <w:fldChar w:fldCharType="separate"/>
      </w:r>
      <w:r>
        <w:rPr/>
        <w:t>Слика 3</w:t>
      </w:r>
      <w:r>
        <w:rPr/>
        <w:fldChar w:fldCharType="end"/>
      </w:r>
      <w:r>
        <w:rPr/>
        <w:t>).</w:t>
      </w:r>
    </w:p>
    <w:p>
      <w:pPr>
        <w:pStyle w:val="Style6"/>
        <w:numPr>
          <w:ilvl w:val="1"/>
          <w:numId w:val="1"/>
        </w:numPr>
        <w:ind w:hanging="567" w:left="567"/>
        <w:rPr/>
      </w:pPr>
      <w:bookmarkStart w:id="59" w:name="__RefHeading___Toc2327_1317292878"/>
      <w:bookmarkStart w:id="60" w:name="_Toc225785089"/>
      <w:bookmarkEnd w:id="59"/>
      <w:r>
        <w:rPr/>
        <w:t>Анализа категоријских обележја</w:t>
      </w:r>
      <w:bookmarkEnd w:id="60"/>
    </w:p>
    <w:p>
      <w:pPr>
        <w:pStyle w:val="Style8"/>
        <w:rPr/>
      </w:pPr>
      <w:r>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r>
        <w:rPr>
          <w:lang w:val="sr-RS"/>
        </w:rPr>
        <w:t xml:space="preserve"> (</w:t>
      </w:r>
      <w:r>
        <w:rPr/>
        <w:fldChar w:fldCharType="begin"/>
      </w:r>
      <w:r>
        <w:rPr/>
        <w:instrText xml:space="preserve"> REF _Ref239600002 \h </w:instrText>
      </w:r>
      <w:r>
        <w:rPr/>
        <w:fldChar w:fldCharType="separate"/>
      </w:r>
      <w:r>
        <w:rPr/>
        <w:t>Слика 4</w:t>
      </w:r>
      <w:r>
        <w:rPr/>
        <w:fldChar w:fldCharType="end"/>
      </w:r>
      <w:r>
        <w:rPr/>
        <w:t>).</w:t>
      </w:r>
    </w:p>
    <w:p>
      <w:pPr>
        <w:pStyle w:val="Style8"/>
        <w:keepNext w:val="true"/>
        <w:ind w:hanging="0"/>
        <w:jc w:val="center"/>
        <w:rPr/>
      </w:pPr>
      <w:r>
        <w:drawing>
          <wp:anchor distT="0" distB="0" distL="114300" distR="114300" simplePos="0" relativeHeight="29" behindDoc="0" locked="0" layoutInCell="0" allowOverlap="1">
            <wp:simplePos x="0" y="0"/>
            <wp:positionH relativeFrom="column">
              <wp:posOffset>2948940</wp:posOffset>
            </wp:positionH>
            <wp:positionV relativeFrom="paragraph">
              <wp:posOffset>92075</wp:posOffset>
            </wp:positionV>
            <wp:extent cx="2730500" cy="1506855"/>
            <wp:effectExtent l="0" t="0" r="0" b="0"/>
            <wp:wrapSquare wrapText="bothSides"/>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730500" cy="1506855"/>
                    </a:xfrm>
                    <a:prstGeom prst="rect">
                      <a:avLst/>
                    </a:prstGeom>
                    <a:noFill/>
                  </pic:spPr>
                </pic:pic>
              </a:graphicData>
            </a:graphic>
          </wp:anchor>
        </w:drawing>
      </w:r>
      <w:r>
        <w:rPr/>
        <w:drawing>
          <wp:inline distT="0" distB="0" distL="0" distR="0">
            <wp:extent cx="2596515" cy="150368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rcRect l="0" t="2784" r="0" b="0"/>
                    <a:stretch>
                      <a:fillRect/>
                    </a:stretch>
                  </pic:blipFill>
                  <pic:spPr bwMode="auto">
                    <a:xfrm>
                      <a:off x="0" y="0"/>
                      <a:ext cx="2596515" cy="1503680"/>
                    </a:xfrm>
                    <a:prstGeom prst="rect">
                      <a:avLst/>
                    </a:prstGeom>
                    <a:noFill/>
                  </pic:spPr>
                </pic:pic>
              </a:graphicData>
            </a:graphic>
          </wp:inline>
        </w:drawing>
      </w:r>
    </w:p>
    <w:p>
      <w:pPr>
        <w:pStyle w:val="Caption"/>
        <w:jc w:val="center"/>
        <w:rPr/>
      </w:pPr>
      <w:bookmarkStart w:id="61" w:name="_Ref239600002"/>
      <w:r>
        <w:rPr/>
        <w:t xml:space="preserve">Слика </w:t>
      </w:r>
      <w:r>
        <w:rPr/>
        <w:fldChar w:fldCharType="begin"/>
      </w:r>
      <w:r>
        <w:rPr/>
        <w:instrText xml:space="preserve"> SEQ Слика \* ARABIC </w:instrText>
      </w:r>
      <w:r>
        <w:rPr/>
        <w:fldChar w:fldCharType="separate"/>
      </w:r>
      <w:r>
        <w:rPr/>
        <w:t>4</w:t>
      </w:r>
      <w:r>
        <w:rPr/>
        <w:fldChar w:fldCharType="end"/>
      </w:r>
      <w:bookmarkEnd w:id="61"/>
      <w:r>
        <w:rPr>
          <w:lang w:val="sr-RS"/>
        </w:rPr>
        <w:t>. Фреквенцијске табеле категоријских обележја (место одрастања и пол)</w:t>
      </w:r>
    </w:p>
    <w:p>
      <w:pPr>
        <w:pStyle w:val="Style8"/>
        <w:ind w:hanging="0"/>
        <w:jc w:val="center"/>
        <w:rPr/>
      </w:pPr>
      <w:r>
        <w:rPr/>
      </w:r>
    </w:p>
    <w:p>
      <w:pPr>
        <w:pStyle w:val="Style8"/>
        <w:rPr>
          <w:b/>
          <w:bCs/>
        </w:rPr>
      </w:pPr>
      <w:r>
        <w:rPr>
          <w:b/>
          <w:bCs/>
        </w:rPr>
        <w:t>Пол испитаника</w:t>
      </w:r>
    </w:p>
    <w:p>
      <w:pPr>
        <w:pStyle w:val="Style8"/>
        <w:rPr/>
      </w:pPr>
      <w:r>
        <w:rPr/>
        <w:t>Анализа показује да у узорку доминирају ученице, при чему је заступљеност:</w:t>
      </w:r>
    </w:p>
    <w:p>
      <w:pPr>
        <w:pStyle w:val="Style8"/>
        <w:numPr>
          <w:ilvl w:val="0"/>
          <w:numId w:val="13"/>
        </w:numPr>
        <w:rPr/>
      </w:pPr>
      <w:r>
        <w:rPr>
          <w:lang w:val="sr-RS"/>
        </w:rPr>
        <w:t>ж</w:t>
      </w:r>
      <w:r>
        <w:rPr/>
        <w:t>енски пол: 715 ученика</w:t>
      </w:r>
      <w:r>
        <w:rPr>
          <w:lang w:val="sr-RS"/>
        </w:rPr>
        <w:t>,</w:t>
      </w:r>
    </w:p>
    <w:p>
      <w:pPr>
        <w:pStyle w:val="Style8"/>
        <w:numPr>
          <w:ilvl w:val="0"/>
          <w:numId w:val="13"/>
        </w:numPr>
        <w:rPr/>
      </w:pPr>
      <w:r>
        <w:rPr>
          <w:lang w:val="sr-RS"/>
        </w:rPr>
        <w:t>м</w:t>
      </w:r>
      <w:r>
        <w:rPr/>
        <w:t>ушки пол: 329 ученика</w:t>
      </w:r>
      <w:r>
        <w:rPr>
          <w:lang w:val="sr-RS"/>
        </w:rPr>
        <w:t>.</w:t>
      </w:r>
    </w:p>
    <w:p>
      <w:pPr>
        <w:pStyle w:val="Style8"/>
        <w:rPr/>
      </w:pPr>
      <w:r>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r>
        <w:rPr>
          <w:lang w:val="sr-RS"/>
        </w:rPr>
        <w:t>.</w:t>
      </w:r>
    </w:p>
    <w:p>
      <w:pPr>
        <w:pStyle w:val="Style8"/>
        <w:rPr>
          <w:b/>
          <w:bCs/>
        </w:rPr>
      </w:pPr>
      <w:r>
        <w:rPr>
          <w:b/>
          <w:bCs/>
        </w:rPr>
        <w:t>Место одрастања:</w:t>
      </w:r>
    </w:p>
    <w:p>
      <w:pPr>
        <w:pStyle w:val="Style8"/>
        <w:rPr/>
      </w:pPr>
      <w:r>
        <w:rPr/>
        <w:t>Када је реч о месту одрастања, резултати показују да највећи број ученика потиче из већих градова:</w:t>
      </w:r>
    </w:p>
    <w:p>
      <w:pPr>
        <w:pStyle w:val="Style8"/>
        <w:numPr>
          <w:ilvl w:val="0"/>
          <w:numId w:val="14"/>
        </w:numPr>
        <w:rPr>
          <w:b/>
          <w:bCs/>
        </w:rPr>
      </w:pPr>
      <w:r>
        <w:rPr>
          <w:b/>
          <w:bCs/>
        </w:rPr>
        <w:t xml:space="preserve">Већи град: </w:t>
      </w:r>
      <w:r>
        <w:rPr/>
        <w:t>712 ученика</w:t>
      </w:r>
    </w:p>
    <w:p>
      <w:pPr>
        <w:pStyle w:val="Style8"/>
        <w:numPr>
          <w:ilvl w:val="0"/>
          <w:numId w:val="14"/>
        </w:numPr>
        <w:rPr>
          <w:b/>
          <w:bCs/>
        </w:rPr>
      </w:pPr>
      <w:r>
        <w:rPr>
          <w:b/>
          <w:bCs/>
        </w:rPr>
        <w:t xml:space="preserve">Село: </w:t>
      </w:r>
      <w:r>
        <w:rPr/>
        <w:t>139 ученика</w:t>
      </w:r>
    </w:p>
    <w:p>
      <w:pPr>
        <w:pStyle w:val="Style8"/>
        <w:numPr>
          <w:ilvl w:val="0"/>
          <w:numId w:val="14"/>
        </w:numPr>
        <w:rPr>
          <w:b/>
          <w:bCs/>
        </w:rPr>
      </w:pPr>
      <w:r>
        <w:rPr>
          <w:b/>
          <w:bCs/>
        </w:rPr>
        <w:t xml:space="preserve">Мањи град: </w:t>
      </w:r>
      <w:r>
        <w:rPr/>
        <w:t>98 ученика</w:t>
      </w:r>
    </w:p>
    <w:p>
      <w:pPr>
        <w:pStyle w:val="Style8"/>
        <w:numPr>
          <w:ilvl w:val="0"/>
          <w:numId w:val="14"/>
        </w:numPr>
        <w:rPr>
          <w:b/>
          <w:bCs/>
        </w:rPr>
      </w:pPr>
      <w:r>
        <w:rPr>
          <w:b/>
          <w:bCs/>
        </w:rPr>
        <w:t xml:space="preserve">Варошица: </w:t>
      </w:r>
      <w:r>
        <w:rPr/>
        <w:t>95 ученика</w:t>
      </w:r>
    </w:p>
    <w:p>
      <w:pPr>
        <w:pStyle w:val="Style8"/>
        <w:rPr/>
      </w:pPr>
      <w:r>
        <w:rPr/>
        <w:t>Ова расподела указује на доминацију урбане популације у узорку. Оваква расподела показује да у узорку доминирају ученици који су одрастали у урбаним срединама, што треба имати у виду приликом касније анализе повезаности места одрастања са СТЕМ опредељењем</w:t>
      </w:r>
      <w:r>
        <w:rPr>
          <w:lang w:val="sr-RS"/>
        </w:rPr>
        <w: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bookmarkStart w:id="62" w:name="_Toc225785090"/>
      <w:r>
        <w:br w:type="page"/>
      </w:r>
    </w:p>
    <w:p>
      <w:pPr>
        <w:pStyle w:val="Style6"/>
        <w:numPr>
          <w:ilvl w:val="1"/>
          <w:numId w:val="1"/>
        </w:numPr>
        <w:spacing w:before="0" w:after="240"/>
        <w:ind w:hanging="567" w:left="567"/>
        <w:rPr/>
      </w:pPr>
      <w:bookmarkStart w:id="63" w:name="__RefHeading___Toc2329_1317292878"/>
      <w:bookmarkEnd w:id="63"/>
      <w:r>
        <w:rPr/>
        <w:t>Графички приказ расподела</w:t>
      </w:r>
      <w:bookmarkEnd w:id="62"/>
    </w:p>
    <w:p>
      <w:pPr>
        <w:pStyle w:val="Style8"/>
        <w:keepNext w:val="true"/>
        <w:ind w:hanging="0"/>
        <w:jc w:val="center"/>
        <w:rPr/>
      </w:pPr>
      <w:r>
        <w:rPr/>
        <w:drawing>
          <wp:inline distT="0" distB="0" distL="0" distR="0">
            <wp:extent cx="3810000" cy="2531110"/>
            <wp:effectExtent l="0" t="0" r="0" b="0"/>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3810000" cy="2531110"/>
                    </a:xfrm>
                    <a:prstGeom prst="rect">
                      <a:avLst/>
                    </a:prstGeom>
                    <a:noFill/>
                  </pic:spPr>
                </pic:pic>
              </a:graphicData>
            </a:graphic>
          </wp:inline>
        </w:drawing>
      </w:r>
    </w:p>
    <w:p>
      <w:pPr>
        <w:pStyle w:val="Caption"/>
        <w:jc w:val="center"/>
        <w:rPr>
          <w:b/>
          <w:bCs/>
          <w:lang w:val="sr-RS"/>
        </w:rPr>
      </w:pPr>
      <w:bookmarkStart w:id="64" w:name="_Ref239600014"/>
      <w:r>
        <w:rPr/>
        <w:t xml:space="preserve">Слика </w:t>
      </w:r>
      <w:r>
        <w:rPr/>
        <w:fldChar w:fldCharType="begin"/>
      </w:r>
      <w:r>
        <w:rPr/>
        <w:instrText xml:space="preserve"> SEQ Слика \* ARABIC </w:instrText>
      </w:r>
      <w:r>
        <w:rPr/>
        <w:fldChar w:fldCharType="separate"/>
      </w:r>
      <w:r>
        <w:rPr/>
        <w:t>5</w:t>
      </w:r>
      <w:r>
        <w:rPr/>
        <w:fldChar w:fldCharType="end"/>
      </w:r>
      <w:bookmarkEnd w:id="64"/>
      <w:r>
        <w:rPr>
          <w:lang w:val="sr-RS"/>
        </w:rPr>
        <w:t>. Расподела СТЕМ опредељења у односу на пол</w:t>
      </w:r>
    </w:p>
    <w:p>
      <w:pPr>
        <w:pStyle w:val="Style8"/>
        <w:rPr>
          <w:lang w:val="sr-RS"/>
        </w:rPr>
      </w:pPr>
      <w:r>
        <w:rPr>
          <w:lang w:val="sr-RS"/>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 (</w:t>
      </w:r>
      <w:r>
        <w:rPr/>
        <w:fldChar w:fldCharType="begin"/>
      </w:r>
      <w:r>
        <w:rPr/>
        <w:instrText xml:space="preserve"> REF _Ref239600014 \h </w:instrText>
      </w:r>
      <w:r>
        <w:rPr/>
        <w:fldChar w:fldCharType="separate"/>
      </w:r>
      <w:r>
        <w:rPr/>
        <w:t>Слика 5</w:t>
      </w:r>
      <w:r>
        <w:rPr/>
        <w:fldChar w:fldCharType="end"/>
      </w:r>
      <w:r>
        <w:rPr>
          <w:lang w:val="sr-RS"/>
        </w:rPr>
        <w:t>).</w:t>
      </w:r>
    </w:p>
    <w:p>
      <w:pPr>
        <w:pStyle w:val="Style8"/>
        <w:rPr/>
      </w:pPr>
      <w:r>
        <w:rPr/>
      </w:r>
    </w:p>
    <w:p>
      <w:pPr>
        <w:pStyle w:val="Style8"/>
        <w:keepNext w:val="true"/>
        <w:ind w:hanging="0" w:left="567"/>
        <w:jc w:val="center"/>
        <w:rPr/>
      </w:pPr>
      <w:r>
        <w:rPr/>
        <w:drawing>
          <wp:inline distT="0" distB="0" distL="0" distR="0">
            <wp:extent cx="3767455" cy="2400935"/>
            <wp:effectExtent l="0" t="0" r="0" b="0"/>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3767455" cy="2400935"/>
                    </a:xfrm>
                    <a:prstGeom prst="rect">
                      <a:avLst/>
                    </a:prstGeom>
                    <a:noFill/>
                  </pic:spPr>
                </pic:pic>
              </a:graphicData>
            </a:graphic>
          </wp:inline>
        </w:drawing>
      </w:r>
    </w:p>
    <w:p>
      <w:pPr>
        <w:pStyle w:val="Caption"/>
        <w:jc w:val="center"/>
        <w:rPr>
          <w:lang w:val="sr-RS"/>
        </w:rPr>
      </w:pPr>
      <w:bookmarkStart w:id="65" w:name="_Ref239600005"/>
      <w:r>
        <w:rPr/>
        <w:t xml:space="preserve">Слика </w:t>
      </w:r>
      <w:r>
        <w:rPr/>
        <w:fldChar w:fldCharType="begin"/>
      </w:r>
      <w:r>
        <w:rPr/>
        <w:instrText xml:space="preserve"> SEQ Слика \* ARABIC </w:instrText>
      </w:r>
      <w:r>
        <w:rPr/>
        <w:fldChar w:fldCharType="separate"/>
      </w:r>
      <w:r>
        <w:rPr/>
        <w:t>6</w:t>
      </w:r>
      <w:r>
        <w:rPr/>
        <w:fldChar w:fldCharType="end"/>
      </w:r>
      <w:bookmarkEnd w:id="65"/>
      <w:r>
        <w:rPr>
          <w:lang w:val="sr-RS"/>
        </w:rPr>
        <w:t>. Расподела СТЕМ опредељења у односу на место одрастања</w:t>
      </w:r>
    </w:p>
    <w:p>
      <w:pPr>
        <w:pStyle w:val="Style8"/>
        <w:rPr>
          <w:lang w:val="sr-RS"/>
        </w:rPr>
      </w:pPr>
      <w:r>
        <w:rPr>
          <w:lang w:val="sr-RS"/>
        </w:rPr>
        <w:t>Највећи број испитаника (и СТЕМ и НЕ-СТЕМ) долази из већег града. У селу и варошици јасно превладавају НЕ-СТЕМ испитаници у односу на СТЕМ; разлика је посебно изражена на селу. У мањем граду расподела је најуравнотеженија, са благом предношћу СТЕМ групе. Закључак: СТЕМ профил је у узорку најчешће везан за веће градове, док се у сеоским срединама мањи удео ученика јавља у СТЕМ групи ().</w:t>
      </w:r>
    </w:p>
    <w:p>
      <w:pPr>
        <w:pStyle w:val="Style8"/>
        <w:ind w:hanging="0" w:left="567"/>
        <w:jc w:val="left"/>
        <w:rPr/>
      </w:pPr>
      <w:r>
        <w:rPr/>
      </w:r>
    </w:p>
    <w:p>
      <w:pPr>
        <w:pStyle w:val="Style8"/>
        <w:keepNext w:val="true"/>
        <w:ind w:hanging="0"/>
        <w:jc w:val="center"/>
        <w:rPr/>
      </w:pPr>
      <w:r>
        <w:rPr/>
        <w:drawing>
          <wp:inline distT="0" distB="0" distL="0" distR="0">
            <wp:extent cx="4533900" cy="2889250"/>
            <wp:effectExtent l="0" t="0" r="0" b="0"/>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10"/>
                    <a:stretch>
                      <a:fillRect/>
                    </a:stretch>
                  </pic:blipFill>
                  <pic:spPr bwMode="auto">
                    <a:xfrm>
                      <a:off x="0" y="0"/>
                      <a:ext cx="4533900" cy="2889250"/>
                    </a:xfrm>
                    <a:prstGeom prst="rect">
                      <a:avLst/>
                    </a:prstGeom>
                    <a:noFill/>
                  </pic:spPr>
                </pic:pic>
              </a:graphicData>
            </a:graphic>
          </wp:inline>
        </w:drawing>
      </w:r>
    </w:p>
    <w:p>
      <w:pPr>
        <w:pStyle w:val="Caption"/>
        <w:jc w:val="center"/>
        <w:rPr>
          <w:lang w:val="sr-RS"/>
        </w:rPr>
      </w:pPr>
      <w:r>
        <w:rPr/>
        <w:tab/>
      </w:r>
      <w:bookmarkStart w:id="66" w:name="_Ref239600006"/>
      <w:r>
        <w:rPr/>
        <w:t xml:space="preserve">Слика </w:t>
      </w:r>
      <w:r>
        <w:rPr/>
        <w:fldChar w:fldCharType="begin"/>
      </w:r>
      <w:r>
        <w:rPr/>
        <w:instrText xml:space="preserve"> SEQ Слика \* ARABIC </w:instrText>
      </w:r>
      <w:r>
        <w:rPr/>
        <w:fldChar w:fldCharType="separate"/>
      </w:r>
      <w:r>
        <w:rPr/>
        <w:t>7</w:t>
      </w:r>
      <w:r>
        <w:rPr/>
        <w:fldChar w:fldCharType="end"/>
      </w:r>
      <w:bookmarkEnd w:id="66"/>
      <w:r>
        <w:rPr>
          <w:lang w:val="sr-RS"/>
        </w:rPr>
        <w:t>. Просек најчешћих оцена: математика, физика, српски језик</w:t>
      </w:r>
    </w:p>
    <w:p>
      <w:pPr>
        <w:pStyle w:val="Style8"/>
        <w:rPr/>
      </w:pPr>
      <w:r>
        <w:rPr/>
        <w:t>За све три области </w:t>
      </w:r>
      <w:r>
        <w:rPr>
          <w:b/>
          <w:bCs/>
        </w:rPr>
        <w:t>СТЕМ група има виши просек</w:t>
      </w:r>
      <w:r>
        <w:rPr/>
        <w:t> најчешће оцене од НЕ-СТЕМ групе. Разлика је </w:t>
      </w:r>
      <w:r>
        <w:rPr>
          <w:b/>
          <w:bCs/>
        </w:rPr>
        <w:t>најизраженија у математици и физици</w:t>
      </w:r>
      <w:r>
        <w:rPr/>
        <w:t>; и </w:t>
      </w:r>
      <w:r>
        <w:rPr>
          <w:b/>
          <w:bCs/>
        </w:rPr>
        <w:t>српски језик</w:t>
      </w:r>
      <w:r>
        <w:rPr/>
        <w:t> је у просеку бољи код СТЕМ ученика, али су оцене у обе групе </w:t>
      </w:r>
      <w:r>
        <w:rPr>
          <w:b/>
          <w:bCs/>
        </w:rPr>
        <w:t>веома високе</w:t>
      </w:r>
      <w:r>
        <w:rPr/>
        <w:t> и разлика је </w:t>
      </w:r>
      <w:r>
        <w:rPr>
          <w:b/>
          <w:bCs/>
        </w:rPr>
        <w:t>мања</w:t>
      </w:r>
      <w:r>
        <w:rPr/>
        <w:t> него код природних предмета. Закључак: </w:t>
      </w:r>
      <w:r>
        <w:rPr>
          <w:b/>
          <w:bCs/>
        </w:rPr>
        <w:t>СТЕМ ученици у просеку боље оцењују и природне предмете и српски језик</w:t>
      </w:r>
      <w:r>
        <w:rPr/>
        <w:t>, а предност у односу на НЕ-СТЕМ је </w:t>
      </w:r>
      <w:r>
        <w:rPr>
          <w:b/>
          <w:bCs/>
        </w:rPr>
        <w:t>најуочљивија код математике и физике</w:t>
      </w:r>
      <w:r>
        <w:rPr>
          <w:lang w:val="sr-RS"/>
        </w:rPr>
        <w:t xml:space="preserve"> (</w:t>
      </w:r>
      <w:r>
        <w:rPr/>
        <w:fldChar w:fldCharType="begin"/>
      </w:r>
      <w:r>
        <w:rPr/>
        <w:instrText xml:space="preserve"> REF _Ref239600006 \h </w:instrText>
      </w:r>
      <w:r>
        <w:rPr/>
        <w:fldChar w:fldCharType="separate"/>
      </w:r>
      <w:r>
        <w:rPr/>
        <w:t>Слика 7</w:t>
      </w:r>
      <w:r>
        <w:rPr/>
        <w:fldChar w:fldCharType="end"/>
      </w:r>
      <w:r>
        <w:rPr/>
        <w:t>).</w:t>
      </w:r>
    </w:p>
    <w:p>
      <w:pPr>
        <w:pStyle w:val="Style8"/>
        <w:rPr/>
      </w:pPr>
      <w:r>
        <w:rPr/>
      </w:r>
    </w:p>
    <w:p>
      <w:pPr>
        <w:pStyle w:val="Normal"/>
        <w:spacing w:lineRule="auto" w:line="276" w:before="0" w:after="200"/>
        <w:rPr>
          <w:b/>
          <w:bCs/>
        </w:rPr>
      </w:pPr>
      <w:r>
        <w:rPr>
          <w:b/>
          <w:bCs/>
        </w:rPr>
      </w:r>
      <w:r>
        <w:br w:type="page"/>
      </w:r>
    </w:p>
    <w:p>
      <w:pPr>
        <w:pStyle w:val="Style8"/>
        <w:keepNext w:val="true"/>
        <w:spacing w:before="0" w:after="0"/>
        <w:ind w:hanging="0"/>
        <w:jc w:val="center"/>
        <w:rPr/>
      </w:pPr>
      <w:r>
        <w:rPr/>
        <w:drawing>
          <wp:inline distT="0" distB="0" distL="0" distR="0">
            <wp:extent cx="5218430" cy="3100070"/>
            <wp:effectExtent l="0" t="0" r="0" b="0"/>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5218430" cy="3100070"/>
                    </a:xfrm>
                    <a:prstGeom prst="rect">
                      <a:avLst/>
                    </a:prstGeom>
                    <a:noFill/>
                  </pic:spPr>
                </pic:pic>
              </a:graphicData>
            </a:graphic>
          </wp:inline>
        </w:drawing>
      </w:r>
    </w:p>
    <w:p>
      <w:pPr>
        <w:pStyle w:val="Caption"/>
        <w:jc w:val="center"/>
        <w:rPr>
          <w:lang w:val="sr-RS"/>
        </w:rPr>
      </w:pPr>
      <w:bookmarkStart w:id="67" w:name="_Ref239600007"/>
      <w:r>
        <w:rPr/>
        <w:t xml:space="preserve">Слика </w:t>
      </w:r>
      <w:r>
        <w:rPr/>
        <w:fldChar w:fldCharType="begin"/>
      </w:r>
      <w:r>
        <w:rPr/>
        <w:instrText xml:space="preserve"> SEQ Слика \* ARABIC </w:instrText>
      </w:r>
      <w:r>
        <w:rPr/>
        <w:fldChar w:fldCharType="separate"/>
      </w:r>
      <w:r>
        <w:rPr/>
        <w:t>8</w:t>
      </w:r>
      <w:r>
        <w:rPr/>
        <w:fldChar w:fldCharType="end"/>
      </w:r>
      <w:bookmarkEnd w:id="67"/>
      <w:r>
        <w:rPr>
          <w:lang w:val="sr-RS"/>
        </w:rPr>
        <w:t>. СТЕМ предмети: оцене и Welch t-тест (једнострано СТЕМ &gt; НЕ-СТЕМ)</w:t>
      </w:r>
    </w:p>
    <w:p>
      <w:pPr>
        <w:pStyle w:val="Style8"/>
        <w:rPr>
          <w:lang w:val="sr-RS"/>
        </w:rPr>
      </w:pPr>
      <w:r>
        <w:rPr>
          <w:lang w:val="sr-RS"/>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 (</w:t>
      </w:r>
      <w:r>
        <w:rPr/>
        <w:fldChar w:fldCharType="begin"/>
      </w:r>
      <w:r>
        <w:rPr/>
        <w:instrText xml:space="preserve"> REF _Ref239600007 \h </w:instrText>
      </w:r>
      <w:r>
        <w:rPr/>
        <w:fldChar w:fldCharType="separate"/>
      </w:r>
      <w:r>
        <w:rPr/>
        <w:t>Слика 8</w:t>
      </w:r>
      <w:r>
        <w:rPr/>
        <w:fldChar w:fldCharType="end"/>
      </w:r>
      <w:r>
        <w:rPr>
          <w:lang w:val="sr-RS"/>
        </w:rPr>
        <w:t>).</w:t>
      </w:r>
    </w:p>
    <w:p>
      <w:pPr>
        <w:pStyle w:val="Style8"/>
        <w:keepNext w:val="true"/>
        <w:ind w:hanging="0"/>
        <w:jc w:val="center"/>
        <w:rPr/>
      </w:pPr>
      <w:r>
        <w:rPr/>
        <w:drawing>
          <wp:inline distT="0" distB="0" distL="0" distR="0">
            <wp:extent cx="4497705" cy="2865755"/>
            <wp:effectExtent l="0" t="0" r="0" b="0"/>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4497705" cy="2865755"/>
                    </a:xfrm>
                    <a:prstGeom prst="rect">
                      <a:avLst/>
                    </a:prstGeom>
                    <a:noFill/>
                  </pic:spPr>
                </pic:pic>
              </a:graphicData>
            </a:graphic>
          </wp:inline>
        </w:drawing>
      </w:r>
    </w:p>
    <w:p>
      <w:pPr>
        <w:pStyle w:val="Caption"/>
        <w:jc w:val="center"/>
        <w:rPr>
          <w:lang w:val="sr-RS"/>
        </w:rPr>
      </w:pPr>
      <w:bookmarkStart w:id="68" w:name="_Ref239600008"/>
      <w:r>
        <w:rPr/>
        <w:t xml:space="preserve">Слика </w:t>
      </w:r>
      <w:r>
        <w:rPr/>
        <w:fldChar w:fldCharType="begin"/>
      </w:r>
      <w:r>
        <w:rPr/>
        <w:instrText xml:space="preserve"> SEQ Слика \* ARABIC </w:instrText>
      </w:r>
      <w:r>
        <w:rPr/>
        <w:fldChar w:fldCharType="separate"/>
      </w:r>
      <w:r>
        <w:rPr/>
        <w:t>9</w:t>
      </w:r>
      <w:r>
        <w:rPr/>
        <w:fldChar w:fldCharType="end"/>
      </w:r>
      <w:bookmarkEnd w:id="68"/>
      <w:r>
        <w:rPr>
          <w:lang w:val="sr-RS"/>
        </w:rPr>
        <w:t>. Перципирана тежина (математика и физика; већи број = теже)</w:t>
      </w:r>
    </w:p>
    <w:p>
      <w:pPr>
        <w:pStyle w:val="Style8"/>
        <w:rPr>
          <w:lang w:val="sr-RS"/>
        </w:rPr>
      </w:pPr>
      <w:r>
        <w:rPr>
          <w:lang w:val="sr-RS"/>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 (</w:t>
      </w:r>
      <w:r>
        <w:rPr/>
        <w:fldChar w:fldCharType="begin"/>
      </w:r>
      <w:r>
        <w:rPr/>
        <w:instrText xml:space="preserve"> REF _Ref239600008 \h </w:instrText>
      </w:r>
      <w:r>
        <w:rPr/>
        <w:fldChar w:fldCharType="separate"/>
      </w:r>
      <w:r>
        <w:rPr/>
        <w:t>Слика 9</w:t>
      </w:r>
      <w:r>
        <w:rPr/>
        <w:fldChar w:fldCharType="end"/>
      </w:r>
      <w:r>
        <w:rPr>
          <w:lang w:val="sr-RS"/>
        </w:rPr>
        <w:t>).</w:t>
      </w:r>
    </w:p>
    <w:p>
      <w:pPr>
        <w:pStyle w:val="Style8"/>
        <w:keepNext w:val="true"/>
        <w:ind w:hanging="0"/>
        <w:jc w:val="center"/>
        <w:rPr/>
      </w:pPr>
      <w:r>
        <w:rPr/>
        <w:drawing>
          <wp:inline distT="0" distB="0" distL="0" distR="0">
            <wp:extent cx="5090160" cy="3243580"/>
            <wp:effectExtent l="0" t="0" r="0" b="0"/>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5090160" cy="3243580"/>
                    </a:xfrm>
                    <a:prstGeom prst="rect">
                      <a:avLst/>
                    </a:prstGeom>
                    <a:noFill/>
                  </pic:spPr>
                </pic:pic>
              </a:graphicData>
            </a:graphic>
          </wp:inline>
        </w:drawing>
      </w:r>
    </w:p>
    <w:p>
      <w:pPr>
        <w:pStyle w:val="Caption"/>
        <w:jc w:val="center"/>
        <w:rPr>
          <w:lang w:val="sr-RS"/>
        </w:rPr>
      </w:pPr>
      <w:bookmarkStart w:id="69" w:name="_Ref239600009"/>
      <w:r>
        <w:rPr/>
        <w:t xml:space="preserve">Слика </w:t>
      </w:r>
      <w:r>
        <w:rPr/>
        <w:fldChar w:fldCharType="begin"/>
      </w:r>
      <w:r>
        <w:rPr/>
        <w:instrText xml:space="preserve"> SEQ Слика \* ARABIC </w:instrText>
      </w:r>
      <w:r>
        <w:rPr/>
        <w:fldChar w:fldCharType="separate"/>
      </w:r>
      <w:r>
        <w:rPr/>
        <w:t>10</w:t>
      </w:r>
      <w:r>
        <w:rPr/>
        <w:fldChar w:fldCharType="end"/>
      </w:r>
      <w:bookmarkEnd w:id="69"/>
      <w:r>
        <w:rPr>
          <w:lang w:val="sr-RS"/>
        </w:rPr>
        <w:t>. Занимљивост математике и физике</w:t>
      </w:r>
    </w:p>
    <w:p>
      <w:pPr>
        <w:pStyle w:val="Style8"/>
        <w:rPr>
          <w:lang w:val="sr-RS"/>
        </w:rPr>
      </w:pPr>
      <w:r>
        <w:rPr>
          <w:lang w:val="sr-RS"/>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у просеку више оцењују занимљивост оба предмета; код НЕ-СТЕМ ученика просечне вредности су испод средине скале (3), док су код СТЕМ ученика изнад ње.Закључак: СТЕМ ученици значајно више пријављују занимљивост оба предмета; код НЕ-СТЕМ просеци су испод „неутралног“ нивоа (3), код СТЕМ изнад њега (</w:t>
      </w:r>
      <w:r>
        <w:rPr/>
        <w:fldChar w:fldCharType="begin"/>
      </w:r>
      <w:r>
        <w:rPr/>
        <w:instrText xml:space="preserve"> REF _Ref239600009 \h </w:instrText>
      </w:r>
      <w:r>
        <w:rPr/>
        <w:fldChar w:fldCharType="separate"/>
      </w:r>
      <w:r>
        <w:rPr/>
        <w:t>Слика 10</w:t>
      </w:r>
      <w:r>
        <w:rPr/>
        <w:fldChar w:fldCharType="end"/>
      </w:r>
      <w:r>
        <w:rPr>
          <w:lang w:val="sr-RS"/>
        </w:rPr>
        <w:t>).</w:t>
      </w:r>
    </w:p>
    <w:p>
      <w:pPr>
        <w:pStyle w:val="Style8"/>
        <w:ind w:hanging="0" w:left="567"/>
        <w:jc w:val="left"/>
        <w:rPr/>
      </w:pPr>
      <w:r>
        <w:rPr/>
      </w:r>
    </w:p>
    <w:p>
      <w:pPr>
        <w:pStyle w:val="Style8"/>
        <w:keepNext w:val="true"/>
        <w:ind w:hanging="0"/>
        <w:jc w:val="center"/>
        <w:rPr/>
      </w:pPr>
      <w:r>
        <w:rPr/>
        <w:drawing>
          <wp:inline distT="0" distB="0" distL="0" distR="0">
            <wp:extent cx="4318000" cy="2751455"/>
            <wp:effectExtent l="0" t="0" r="0" b="0"/>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4318000" cy="2751455"/>
                    </a:xfrm>
                    <a:prstGeom prst="rect">
                      <a:avLst/>
                    </a:prstGeom>
                    <a:noFill/>
                  </pic:spPr>
                </pic:pic>
              </a:graphicData>
            </a:graphic>
          </wp:inline>
        </w:drawing>
      </w:r>
    </w:p>
    <w:p>
      <w:pPr>
        <w:pStyle w:val="Caption"/>
        <w:jc w:val="center"/>
        <w:rPr>
          <w:lang w:val="sr-RS"/>
        </w:rPr>
      </w:pPr>
      <w:bookmarkStart w:id="70" w:name="_Ref239600010"/>
      <w:r>
        <w:rPr/>
        <w:t xml:space="preserve">Слика </w:t>
      </w:r>
      <w:r>
        <w:rPr/>
        <w:fldChar w:fldCharType="begin"/>
      </w:r>
      <w:r>
        <w:rPr/>
        <w:instrText xml:space="preserve"> SEQ Слика \* ARABIC </w:instrText>
      </w:r>
      <w:r>
        <w:rPr/>
        <w:fldChar w:fldCharType="separate"/>
      </w:r>
      <w:r>
        <w:rPr/>
        <w:t>11</w:t>
      </w:r>
      <w:r>
        <w:rPr/>
        <w:fldChar w:fldCharType="end"/>
      </w:r>
      <w:bookmarkEnd w:id="70"/>
      <w:r>
        <w:rPr>
          <w:lang w:val="sr-RS"/>
        </w:rPr>
        <w:t>. Корисност математике и физике</w:t>
      </w:r>
    </w:p>
    <w:p>
      <w:pPr>
        <w:pStyle w:val="Style8"/>
        <w:rPr>
          <w:lang w:val="sr-RS"/>
        </w:rPr>
      </w:pPr>
      <w:r>
        <w:rPr>
          <w:lang w:val="sr-RS"/>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 (</w:t>
      </w:r>
      <w:r>
        <w:rPr/>
        <w:fldChar w:fldCharType="begin"/>
      </w:r>
      <w:r>
        <w:rPr/>
        <w:instrText xml:space="preserve"> REF _Ref239600010 \h </w:instrText>
      </w:r>
      <w:r>
        <w:rPr/>
        <w:fldChar w:fldCharType="separate"/>
      </w:r>
      <w:r>
        <w:rPr/>
        <w:t>Слика 11</w:t>
      </w:r>
      <w:r>
        <w:rPr/>
        <w:fldChar w:fldCharType="end"/>
      </w:r>
      <w:r>
        <w:rPr>
          <w:lang w:val="sr-RS"/>
        </w:rPr>
        <w:t>).</w:t>
      </w:r>
    </w:p>
    <w:p>
      <w:pPr>
        <w:pStyle w:val="Style6"/>
        <w:numPr>
          <w:ilvl w:val="1"/>
          <w:numId w:val="1"/>
        </w:numPr>
        <w:ind w:hanging="567" w:left="567"/>
        <w:rPr/>
      </w:pPr>
      <w:bookmarkStart w:id="71" w:name="__RefHeading___Toc2331_1317292878"/>
      <w:bookmarkStart w:id="72" w:name="_Toc225785091"/>
      <w:bookmarkEnd w:id="71"/>
      <w:r>
        <w:rPr/>
        <w:t>Корелациона матрица</w:t>
      </w:r>
      <w:bookmarkEnd w:id="72"/>
    </w:p>
    <w:p>
      <w:pPr>
        <w:pStyle w:val="Style8"/>
        <w:keepNext w:val="true"/>
        <w:rPr/>
      </w:pPr>
      <w:r>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728845"/>
            <wp:effectExtent l="0" t="0" r="0" b="0"/>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15"/>
                    <a:stretch>
                      <a:fillRect/>
                    </a:stretch>
                  </pic:blipFill>
                  <pic:spPr bwMode="auto">
                    <a:xfrm>
                      <a:off x="0" y="0"/>
                      <a:ext cx="5732145" cy="4728845"/>
                    </a:xfrm>
                    <a:prstGeom prst="rect">
                      <a:avLst/>
                    </a:prstGeom>
                    <a:noFill/>
                  </pic:spPr>
                </pic:pic>
              </a:graphicData>
            </a:graphic>
          </wp:inline>
        </w:drawing>
      </w:r>
    </w:p>
    <w:p>
      <w:pPr>
        <w:pStyle w:val="Caption"/>
        <w:jc w:val="center"/>
        <w:rPr>
          <w:lang w:val="sr-Latn-RS"/>
        </w:rPr>
      </w:pPr>
      <w:bookmarkStart w:id="73" w:name="_Ref239600011"/>
      <w:r>
        <w:rPr/>
        <w:t xml:space="preserve">Слика </w:t>
      </w:r>
      <w:r>
        <w:rPr/>
        <w:fldChar w:fldCharType="begin"/>
      </w:r>
      <w:r>
        <w:rPr/>
        <w:instrText xml:space="preserve"> SEQ Слика \* ARABIC </w:instrText>
      </w:r>
      <w:r>
        <w:rPr/>
        <w:fldChar w:fldCharType="separate"/>
      </w:r>
      <w:r>
        <w:rPr/>
        <w:t>12</w:t>
      </w:r>
      <w:r>
        <w:rPr/>
        <w:fldChar w:fldCharType="end"/>
      </w:r>
      <w:bookmarkEnd w:id="73"/>
      <w:r>
        <w:rPr>
          <w:lang w:val="sr-RS"/>
        </w:rPr>
        <w:t>. Корелациона матрица одабраних нумеричких обележја</w:t>
      </w:r>
    </w:p>
    <w:p>
      <w:pPr>
        <w:pStyle w:val="Style8"/>
        <w:rPr>
          <w:lang w:val="sr-RS"/>
        </w:rPr>
      </w:pPr>
      <w:r>
        <w:rPr>
          <w:lang w:val="sr-RS"/>
        </w:rPr>
        <w:t>Анализа корелационе матрице показала је постојање више значајних позитивних и негативних повезаности између посматраних обележја (</w:t>
      </w:r>
      <w:r>
        <w:rPr/>
        <w:fldChar w:fldCharType="begin"/>
      </w:r>
      <w:r>
        <w:rPr/>
        <w:instrText xml:space="preserve"> REF _Ref239600011 \h </w:instrText>
      </w:r>
      <w:r>
        <w:rPr/>
        <w:fldChar w:fldCharType="separate"/>
      </w:r>
      <w:r>
        <w:rPr/>
        <w:t>Слика 12</w:t>
      </w:r>
      <w:r>
        <w:rPr/>
        <w:fldChar w:fldCharType="end"/>
      </w:r>
      <w:r>
        <w:rPr>
          <w:lang w:val="sr-RS"/>
        </w:rPr>
        <w:t>).</w:t>
      </w:r>
    </w:p>
    <w:p>
      <w:pPr>
        <w:pStyle w:val="Style8"/>
        <w:rPr>
          <w:lang w:val="sr-RS"/>
        </w:rPr>
      </w:pPr>
      <w:r>
        <w:rPr>
          <w:lang w:val="sr-RS"/>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lang w:val="sr-RS"/>
        </w:rPr>
      </w:pPr>
      <w:r>
        <w:rPr>
          <w:lang w:val="sr-RS"/>
        </w:rPr>
        <w:t>Такође је уочена умерено јака позитивна корелација између занимљивости математике и оцене из математике (r ≈ 0.50),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lang w:val="sr-RS"/>
        </w:rPr>
      </w:pPr>
      <w:r>
        <w:rPr>
          <w:lang w:val="sr-RS"/>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су ученици који припадају СТЕМ групи у просеку пријављивали веће интересовање за математику и физику током основног образовања.Ово указује да ученици који су касније уписали СТЕМ смерове у већој мери показују интересовање за ове предмете још током основног образовања.</w:t>
      </w:r>
    </w:p>
    <w:p>
      <w:pPr>
        <w:pStyle w:val="Style8"/>
        <w:rPr>
          <w:lang w:val="sr-RS"/>
        </w:rPr>
      </w:pPr>
      <w:r>
        <w:rPr>
          <w:lang w:val="sr-RS"/>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pPr>
        <w:pStyle w:val="Style8"/>
        <w:rPr>
          <w:lang w:val="sr-RS"/>
        </w:rPr>
      </w:pPr>
      <w:r>
        <w:rPr>
          <w:lang w:val="sr-RS"/>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lang w:val="sr-RS"/>
        </w:rPr>
      </w:pPr>
      <w:r>
        <w:rPr>
          <w:lang w:val="sr-RS"/>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pPr>
      <w:bookmarkStart w:id="74" w:name="__RefHeading___Toc2333_1317292878"/>
      <w:bookmarkStart w:id="75" w:name="_Toc225785092"/>
      <w:bookmarkEnd w:id="74"/>
      <w:r>
        <w:rPr/>
        <w:t>Статистички тестови повезаности са циљном променљивом</w:t>
      </w:r>
      <w:bookmarkEnd w:id="75"/>
    </w:p>
    <w:p>
      <w:pPr>
        <w:pStyle w:val="Style8"/>
        <w:rPr/>
      </w:pPr>
      <w:r>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pPr>
      <w:r>
        <w:rPr/>
        <w:t xml:space="preserve">За категоријска обележја примењен је </w:t>
      </w:r>
      <w:r>
        <w:rPr>
          <w:b/>
          <w:bCs/>
        </w:rPr>
        <w:t>chi-square тест независности</w:t>
      </w:r>
      <w:r>
        <w:rPr/>
        <w:t xml:space="preserve">, док je за нумеричка обележја коришћен </w:t>
      </w:r>
      <w:r>
        <w:rPr>
          <w:b/>
          <w:bCs/>
        </w:rPr>
        <w:t>t-test</w:t>
      </w:r>
      <w:r>
        <w:rPr/>
        <w:t>.</w:t>
      </w:r>
    </w:p>
    <w:p>
      <w:pPr>
        <w:pStyle w:val="Style8"/>
        <w:rPr/>
      </w:pPr>
      <w:r>
        <w:rPr/>
        <w:t>За променљиву </w:t>
      </w:r>
      <w:r>
        <w:rPr>
          <w:b/>
          <w:bCs/>
        </w:rPr>
        <w:t>занимљивости математике</w:t>
      </w:r>
      <w:r>
        <w:rPr/>
        <w:t> (Ликерт одговори претворени у бројеве) упоређене су две независне групе: ученици у </w:t>
      </w:r>
      <w:r>
        <w:rPr>
          <w:b/>
          <w:bCs/>
        </w:rPr>
        <w:t>СТЕМ</w:t>
      </w:r>
      <w:r>
        <w:rPr/>
        <w:t> смеру и ученици </w:t>
      </w:r>
      <w:r>
        <w:rPr>
          <w:b/>
          <w:bCs/>
        </w:rPr>
        <w:t>ван</w:t>
      </w:r>
      <w:r>
        <w:rPr/>
        <w:t> те групе. Применом </w:t>
      </w:r>
      <w:r>
        <w:rPr>
          <w:b/>
          <w:bCs/>
        </w:rPr>
        <w:t>t-теста за независне узорке</w:t>
      </w:r>
      <w:r>
        <w:rPr/>
        <w:t> са </w:t>
      </w:r>
      <w:r>
        <w:rPr>
          <w:b/>
          <w:bCs/>
        </w:rPr>
        <w:t>неједнаким варијансама</w:t>
      </w:r>
      <w:r>
        <w:rPr/>
        <w:t> (Welch-ова варијанта) добијена је </w:t>
      </w:r>
      <w:r>
        <w:rPr>
          <w:b/>
          <w:bCs/>
        </w:rPr>
        <w:t>врло мала p-вредност</w:t>
      </w:r>
      <w:r>
        <w:rPr/>
        <w:t>, што значи да се </w:t>
      </w:r>
      <w:r>
        <w:rPr>
          <w:b/>
          <w:bCs/>
        </w:rPr>
        <w:t>просечне вредности</w:t>
      </w:r>
      <w:r>
        <w:rPr/>
        <w:t> на скали занимљивости </w:t>
      </w:r>
      <w:r>
        <w:rPr>
          <w:b/>
          <w:bCs/>
        </w:rPr>
        <w:t>значајно разликују</w:t>
      </w:r>
      <w:r>
        <w:rPr/>
        <w:t> између ове две групе у испитаном узорку. Када се то споји са приказом </w:t>
      </w:r>
      <w:r>
        <w:rPr>
          <w:b/>
          <w:bCs/>
        </w:rPr>
        <w:t>просека по групи</w:t>
      </w:r>
      <w:r>
        <w:rPr/>
        <w:t>, види се да ученици у </w:t>
      </w:r>
      <w:r>
        <w:rPr>
          <w:b/>
          <w:bCs/>
        </w:rPr>
        <w:t>СТЕМ групи у просеку више оцењују занимљивост математике</w:t>
      </w:r>
      <w:r>
        <w:rPr/>
        <w:t> од осталих; то је опис </w:t>
      </w:r>
      <w:r>
        <w:rPr>
          <w:b/>
          <w:bCs/>
        </w:rPr>
        <w:t>разлике између група</w:t>
      </w:r>
      <w:r>
        <w:rPr/>
        <w:t> на истој скали, без закључка о узрочности</w:t>
      </w:r>
      <w:r>
        <w:rPr>
          <w:lang w:val="sr-RS"/>
        </w:rPr>
        <w:t xml:space="preserve"> (</w:t>
      </w:r>
      <w:r>
        <w:rPr/>
        <w:fldChar w:fldCharType="begin"/>
      </w:r>
      <w:r>
        <w:rPr/>
        <w:instrText xml:space="preserve"> REF _Ref239600012 \h </w:instrText>
      </w:r>
      <w:r>
        <w:rPr/>
        <w:fldChar w:fldCharType="separate"/>
      </w:r>
      <w:r>
        <w:rPr/>
        <w:t>Слика 13</w:t>
      </w:r>
      <w:r>
        <w:rPr/>
        <w:fldChar w:fldCharType="end"/>
      </w:r>
      <w:r>
        <w:rPr/>
        <w:t>).</w:t>
      </w:r>
    </w:p>
    <w:p>
      <w:pPr>
        <w:pStyle w:val="Style8"/>
        <w:keepNext w:val="true"/>
        <w:ind w:hanging="0"/>
        <w:jc w:val="center"/>
        <w:rPr/>
      </w:pPr>
      <w:r>
        <w:rPr/>
        <w:drawing>
          <wp:inline distT="0" distB="0" distL="0" distR="0">
            <wp:extent cx="5685790" cy="2142490"/>
            <wp:effectExtent l="0" t="0" r="0" b="0"/>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5685790" cy="2142490"/>
                    </a:xfrm>
                    <a:prstGeom prst="rect">
                      <a:avLst/>
                    </a:prstGeom>
                    <a:noFill/>
                  </pic:spPr>
                </pic:pic>
              </a:graphicData>
            </a:graphic>
          </wp:inline>
        </w:drawing>
      </w:r>
    </w:p>
    <w:p>
      <w:pPr>
        <w:pStyle w:val="Caption"/>
        <w:jc w:val="center"/>
        <w:rPr/>
      </w:pPr>
      <w:bookmarkStart w:id="76" w:name="_Ref239600012"/>
      <w:r>
        <w:rPr/>
        <w:t xml:space="preserve">Слика </w:t>
      </w:r>
      <w:r>
        <w:rPr/>
        <w:fldChar w:fldCharType="begin"/>
      </w:r>
      <w:r>
        <w:rPr/>
        <w:instrText xml:space="preserve"> SEQ Слика \* ARABIC </w:instrText>
      </w:r>
      <w:r>
        <w:rPr/>
        <w:fldChar w:fldCharType="separate"/>
      </w:r>
      <w:r>
        <w:rPr/>
        <w:t>13</w:t>
      </w:r>
      <w:r>
        <w:rPr/>
        <w:fldChar w:fldCharType="end"/>
      </w:r>
      <w:bookmarkEnd w:id="76"/>
      <w:r>
        <w:rPr/>
        <w:t>. Welch t</w:t>
      </w:r>
      <w:r>
        <w:rPr>
          <w:lang w:val="sr-RS"/>
        </w:rPr>
        <w:t>-тест: занимљивост математике (СТЕМ наспрам НЕ-СТЕМ)</w:t>
      </w:r>
    </w:p>
    <w:p>
      <w:pPr>
        <w:pStyle w:val="Style8"/>
        <w:rPr>
          <w:lang w:val="sr-RS"/>
        </w:rPr>
      </w:pPr>
      <w:r>
        <w:rPr>
          <w:lang w:val="sr-RS"/>
        </w:rPr>
        <w:t>За </w:t>
      </w:r>
      <w:r>
        <w:rPr>
          <w:b/>
          <w:bCs/>
          <w:lang w:val="sr-RS"/>
        </w:rPr>
        <w:t>пол</w:t>
      </w:r>
      <w:r>
        <w:rPr>
          <w:lang w:val="sr-RS"/>
        </w:rPr>
        <w:t> и </w:t>
      </w:r>
      <w:r>
        <w:rPr>
          <w:b/>
          <w:bCs/>
          <w:lang w:val="sr-RS"/>
        </w:rPr>
        <w:t>припадност СТЕМ / НЕ-СТЕМ групи</w:t>
      </w:r>
      <w:r>
        <w:rPr>
          <w:lang w:val="sr-RS"/>
        </w:rPr>
        <w:t> формирана је </w:t>
      </w:r>
      <w:r>
        <w:rPr>
          <w:b/>
          <w:bCs/>
          <w:lang w:val="sr-RS"/>
        </w:rPr>
        <w:t>контингенцијска табела</w:t>
      </w:r>
      <w:r>
        <w:rPr>
          <w:lang w:val="sr-RS"/>
        </w:rPr>
        <w:t> (укрштене учесталости). На њој је примењен </w:t>
      </w:r>
      <w:r>
        <w:rPr>
          <w:b/>
          <w:bCs/>
          <w:lang w:val="sr-RS"/>
        </w:rPr>
        <w:t>χ² тест независности</w:t>
      </w:r>
      <w:r>
        <w:rPr>
          <w:lang w:val="sr-RS"/>
        </w:rPr>
        <w:t>; </w:t>
      </w:r>
      <w:r>
        <w:rPr>
          <w:b/>
          <w:bCs/>
          <w:lang w:val="sr-RS"/>
        </w:rPr>
        <w:t>мала p-вредност</w:t>
      </w:r>
      <w:r>
        <w:rPr>
          <w:lang w:val="sr-RS"/>
        </w:rPr>
        <w:t> показује да </w:t>
      </w:r>
      <w:r>
        <w:rPr>
          <w:b/>
          <w:bCs/>
          <w:lang w:val="sr-RS"/>
        </w:rPr>
        <w:t>пол и СТЕМ опредељење нису статистички независни</w:t>
      </w:r>
      <w:r>
        <w:rPr>
          <w:lang w:val="sr-RS"/>
        </w:rPr>
        <w:t> — у узорку постоји </w:t>
      </w:r>
      <w:r>
        <w:rPr>
          <w:b/>
          <w:bCs/>
          <w:lang w:val="sr-RS"/>
        </w:rPr>
        <w:t>значајна повезаност</w:t>
      </w:r>
      <w:r>
        <w:rPr>
          <w:lang w:val="sr-RS"/>
        </w:rPr>
        <w:t> (асоцијација) између ове две категорије. Из саме табеле се види и </w:t>
      </w:r>
      <w:r>
        <w:rPr>
          <w:b/>
          <w:bCs/>
          <w:lang w:val="sr-RS"/>
        </w:rPr>
        <w:t>смер</w:t>
      </w:r>
      <w:r>
        <w:rPr>
          <w:lang w:val="sr-RS"/>
        </w:rPr>
        <w:t>: удео ученика у </w:t>
      </w:r>
      <w:r>
        <w:rPr>
          <w:b/>
          <w:bCs/>
          <w:lang w:val="sr-RS"/>
        </w:rPr>
        <w:t>СТЕМ</w:t>
      </w:r>
      <w:r>
        <w:rPr>
          <w:lang w:val="sr-RS"/>
        </w:rPr>
        <w:t> групи је </w:t>
      </w:r>
      <w:r>
        <w:rPr>
          <w:b/>
          <w:bCs/>
          <w:lang w:val="sr-RS"/>
        </w:rPr>
        <w:t>већи код мушких</w:t>
      </w:r>
      <w:r>
        <w:rPr>
          <w:lang w:val="sr-RS"/>
        </w:rPr>
        <w:t> него код </w:t>
      </w:r>
      <w:r>
        <w:rPr>
          <w:b/>
          <w:bCs/>
          <w:lang w:val="sr-RS"/>
        </w:rPr>
        <w:t>женских</w:t>
      </w:r>
      <w:r>
        <w:rPr>
          <w:lang w:val="sr-RS"/>
        </w:rPr>
        <w:t> испитаника (нпр. око </w:t>
      </w:r>
      <w:r>
        <w:rPr>
          <w:b/>
          <w:bCs/>
          <w:lang w:val="sr-RS"/>
        </w:rPr>
        <w:t>59%</w:t>
      </w:r>
      <w:r>
        <w:rPr>
          <w:lang w:val="sr-RS"/>
        </w:rPr>
        <w:t> мушких у узорку у СТЕМ групи у односу на око </w:t>
      </w:r>
      <w:r>
        <w:rPr>
          <w:b/>
          <w:bCs/>
          <w:lang w:val="sr-RS"/>
        </w:rPr>
        <w:t>33%</w:t>
      </w:r>
      <w:r>
        <w:rPr>
          <w:lang w:val="sr-RS"/>
        </w:rPr>
        <w:t> женских, уз укупне бројеве по ћелијама из табеле), што у тексту рада треба навести уз бројеве из конкретног исписа анализе (</w:t>
      </w:r>
      <w:r>
        <w:rPr/>
        <w:fldChar w:fldCharType="begin"/>
      </w:r>
      <w:r>
        <w:rPr/>
        <w:instrText xml:space="preserve"> REF _Ref239600013 \h </w:instrText>
      </w:r>
      <w:r>
        <w:rPr/>
        <w:fldChar w:fldCharType="separate"/>
      </w:r>
      <w:r>
        <w:rPr/>
        <w:t>Слика 14</w:t>
      </w:r>
      <w:r>
        <w:rPr/>
        <w:fldChar w:fldCharType="end"/>
      </w:r>
      <w:r>
        <w:rPr>
          <w:lang w:val="sr-RS"/>
        </w:rPr>
        <w:t>).</w:t>
      </w:r>
    </w:p>
    <w:p>
      <w:pPr>
        <w:pStyle w:val="Style8"/>
        <w:keepNext w:val="true"/>
        <w:ind w:hanging="0"/>
        <w:jc w:val="center"/>
        <w:rPr/>
      </w:pPr>
      <w:r>
        <w:rPr/>
        <w:drawing>
          <wp:inline distT="0" distB="0" distL="0" distR="0">
            <wp:extent cx="4476750" cy="3035935"/>
            <wp:effectExtent l="0" t="0" r="0" b="0"/>
            <wp:docPr id="1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pic:cNvPicPr>
                      <a:picLocks noChangeAspect="1" noChangeArrowheads="1"/>
                    </pic:cNvPicPr>
                  </pic:nvPicPr>
                  <pic:blipFill>
                    <a:blip r:embed="rId17"/>
                    <a:stretch>
                      <a:fillRect/>
                    </a:stretch>
                  </pic:blipFill>
                  <pic:spPr bwMode="auto">
                    <a:xfrm>
                      <a:off x="0" y="0"/>
                      <a:ext cx="4476750" cy="3035935"/>
                    </a:xfrm>
                    <a:prstGeom prst="rect">
                      <a:avLst/>
                    </a:prstGeom>
                    <a:noFill/>
                  </pic:spPr>
                </pic:pic>
              </a:graphicData>
            </a:graphic>
          </wp:inline>
        </w:drawing>
      </w:r>
    </w:p>
    <w:p>
      <w:pPr>
        <w:pStyle w:val="Caption"/>
        <w:jc w:val="center"/>
        <w:rPr/>
      </w:pPr>
      <w:bookmarkStart w:id="77" w:name="_Ref239600013"/>
      <w:r>
        <w:rPr/>
        <w:t xml:space="preserve">Слика </w:t>
      </w:r>
      <w:r>
        <w:rPr/>
        <w:fldChar w:fldCharType="begin"/>
      </w:r>
      <w:r>
        <w:rPr/>
        <w:instrText xml:space="preserve"> SEQ Слика \* ARABIC </w:instrText>
      </w:r>
      <w:r>
        <w:rPr/>
        <w:fldChar w:fldCharType="separate"/>
      </w:r>
      <w:r>
        <w:rPr/>
        <w:t>14</w:t>
      </w:r>
      <w:r>
        <w:rPr/>
        <w:fldChar w:fldCharType="end"/>
      </w:r>
      <w:bookmarkEnd w:id="77"/>
      <w:r>
        <w:rPr>
          <w:lang w:val="sr-RS"/>
        </w:rPr>
        <w:t>. χ² тест независности: пол и СТЕМ опредељење</w:t>
      </w:r>
    </w:p>
    <w:p>
      <w:pPr>
        <w:pStyle w:val="Normal"/>
        <w:spacing w:lineRule="auto" w:line="276" w:before="0" w:after="200"/>
        <w:rPr/>
      </w:pPr>
      <w:r>
        <w:rPr/>
      </w:r>
      <w:r>
        <w:br w:type="page"/>
      </w:r>
    </w:p>
    <w:p>
      <w:pPr>
        <w:pStyle w:val="Style5"/>
        <w:numPr>
          <w:ilvl w:val="0"/>
          <w:numId w:val="1"/>
        </w:numPr>
        <w:spacing w:before="0" w:after="840"/>
        <w:ind w:hanging="0" w:left="357"/>
        <w:rPr/>
      </w:pPr>
      <w:bookmarkStart w:id="78" w:name="__RefHeading___Toc2335_1317292878"/>
      <w:bookmarkStart w:id="79" w:name="_Toc225785093"/>
      <w:bookmarkEnd w:id="78"/>
      <w:r>
        <w:rPr/>
        <w:t>Припрема података</w:t>
      </w:r>
      <w:bookmarkEnd w:id="79"/>
    </w:p>
    <w:p>
      <w:pPr>
        <w:pStyle w:val="Style8"/>
        <w:rPr/>
      </w:pPr>
      <w:r>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pPr>
      <w:bookmarkStart w:id="80" w:name="__RefHeading___Toc2337_1317292878"/>
      <w:bookmarkStart w:id="81" w:name="_Toc225785094"/>
      <w:bookmarkEnd w:id="80"/>
      <w:r>
        <w:rPr/>
        <w:t>Уклањање непотребних колона</w:t>
      </w:r>
      <w:bookmarkEnd w:id="81"/>
    </w:p>
    <w:p>
      <w:pPr>
        <w:pStyle w:val="Style8"/>
        <w:rPr/>
      </w:pPr>
      <w:r>
        <w:rPr/>
        <w:t>Полазни скуп података садржи 105 изворних обележја. Уз изведену циљну променљиву СТЕМ, почетни скуп за даљу анализу броји 106 колона. Пре примене алгоритама машинског учења, искључено је укупно десет колона: временски печат, четири слободнотекстуалне колоне (занимања родитеља, разлози избора гимназије и смера), четири административне колоне (смер, школа коју ученик похађа, разред, година рођења) и сама циљна променљива СТЕМ, која се одвојено чува за потребе моделовања — чиме је број преосталих улазних обележја сведен на 96.</w:t>
      </w:r>
    </w:p>
    <w:p>
      <w:pPr>
        <w:pStyle w:val="Style8"/>
        <w:rPr/>
      </w:pPr>
      <w:r>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pPr>
      <w:r>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pPr>
      <w:r>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pPr>
      <w:r>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pPr>
      <w:bookmarkStart w:id="82" w:name="__RefHeading___Toc2339_1317292878"/>
      <w:bookmarkStart w:id="83" w:name="_Toc225785095"/>
      <w:bookmarkEnd w:id="82"/>
      <w:r>
        <w:rPr/>
        <w:t>Обрада недостајућих вредности</w:t>
      </w:r>
      <w:bookmarkEnd w:id="83"/>
    </w:p>
    <w:p>
      <w:pPr>
        <w:pStyle w:val="Style8"/>
        <w:rPr/>
      </w:pPr>
      <w:r>
        <w:rPr/>
        <w:t>Пре примене алгоритама машинског учења проверено је присуство недостајућих вредности у преосталим обележјима. Треба имати у виду да стандардна провера (isna) препознаје само експлицитно недостајуће вредности (NaN/None), не и текстуалне уносе који су формално валидни, а семантички неисправни за одговарајуће поље.</w:t>
      </w:r>
    </w:p>
    <w:p>
      <w:pPr>
        <w:pStyle w:val="Style8"/>
        <w:rPr/>
      </w:pPr>
      <w:r>
        <w:rPr/>
        <w:t>Таквом провером није пронађена ниједна експлицитно недостајућа вредност. Постоји само један гранични случај: у обележју које представља број деце у породици (слободан унос броја) један ред садржи вредност „/“ уместо броја. Ова вредност није NaN и провера је не открива; при претварању обележја у нумерички тип она постаје недостајућа и попуњава се медијаном обележја. Осим тога, импутација или изостављање редова и колона по основу недостајућих вредности није било потребно.</w:t>
      </w:r>
    </w:p>
    <w:p>
      <w:pPr>
        <w:pStyle w:val="Style6"/>
        <w:numPr>
          <w:ilvl w:val="1"/>
          <w:numId w:val="1"/>
        </w:numPr>
        <w:ind w:hanging="567" w:left="567"/>
        <w:rPr/>
      </w:pPr>
      <w:bookmarkStart w:id="84" w:name="__RefHeading___Toc2341_1317292878"/>
      <w:bookmarkStart w:id="85" w:name="_Toc225785096"/>
      <w:bookmarkEnd w:id="84"/>
      <w:r>
        <w:rPr/>
        <w:t>Детекција дупликата</w:t>
      </w:r>
      <w:bookmarkEnd w:id="85"/>
    </w:p>
    <w:p>
      <w:pPr>
        <w:pStyle w:val="Style8"/>
        <w:rPr/>
      </w:pPr>
      <w:r>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pPr>
      <w:r>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8"/>
        <w:rPr/>
      </w:pPr>
      <w:r>
        <w:rPr>
          <w:lang w:val="sr-RS"/>
        </w:rPr>
        <w:t>Ради прегледности, број опсервација кроз кораке припреме мења се на следећи начин: полазни скуп података садржи 1.044 реда; уклањањем описаног дупликата остаје 1.043 опсервације; искључивањем осам редова са изразитим обрасцем небрижљивог одговарања (одељак 5.4) коначан скуп за моделовање садржи 1.035 опсервација, које се потом деле на тренинг и тест подскуп. Експлораторна анализа из претходног поглавља спроведена је на пуном скупу од 1.044 реда, пре ова два корака уклањања.</w:t>
      </w:r>
    </w:p>
    <w:p>
      <w:pPr>
        <w:pStyle w:val="Style6"/>
        <w:numPr>
          <w:ilvl w:val="1"/>
          <w:numId w:val="1"/>
        </w:numPr>
        <w:ind w:hanging="567" w:left="567"/>
        <w:rPr/>
      </w:pPr>
      <w:bookmarkStart w:id="86" w:name="__RefHeading___Toc2343_1317292878"/>
      <w:bookmarkStart w:id="87" w:name="_Toc225785097"/>
      <w:bookmarkEnd w:id="86"/>
      <w:r>
        <w:rPr/>
        <w:t>Детекција аномалија</w:t>
      </w:r>
      <w:bookmarkEnd w:id="87"/>
    </w:p>
    <w:p>
      <w:pPr>
        <w:pStyle w:val="Style8"/>
        <w:rPr/>
      </w:pPr>
      <w:r>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pPr>
      <w:r>
        <w:rPr/>
        <w:t xml:space="preserve">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Изразито мали број различитих вредности коришћених кроз велики број разнородних питања може указивати на образац недовољно пажљивог одговарања (енгл. </w:t>
      </w:r>
      <w:r>
        <w:rPr>
          <w:i/>
          <w:iCs/>
        </w:rPr>
        <w:t>straight-lining</w:t>
      </w:r>
      <w:r>
        <w:rPr/>
        <w:t>). У овом раду, коришћење свега две или три различите вредности кроз готово 90 питања посматрано је као индикатор потенцијално неквалитетног одговора.</w:t>
      </w:r>
    </w:p>
    <w:p>
      <w:pPr>
        <w:pStyle w:val="Style8"/>
        <w:rPr/>
      </w:pPr>
      <w:r>
        <w:rPr/>
        <w:t>Анализа показује да чак 97% ученика користи свих пет вредности скале, што потврђује да је варијација одговора уобичајена и очекивана. Осам редова показало је овакав изразит образац одговарања (свега две до три различите вредности кроз скоро 90 питања), од којих је половина истовремено означена и алгоритмом Isolation Forest.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pPr>
      <w:bookmarkStart w:id="88" w:name="__RefHeading___Toc2345_1317292878"/>
      <w:bookmarkStart w:id="89" w:name="_Toc225785098"/>
      <w:bookmarkEnd w:id="88"/>
      <w:r>
        <w:rPr/>
        <w:t>Енкодирање категоријских променљивих</w:t>
      </w:r>
      <w:bookmarkEnd w:id="89"/>
    </w:p>
    <w:p>
      <w:pPr>
        <w:pStyle w:val="Style8"/>
        <w:rPr/>
      </w:pPr>
      <w:r>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pPr>
      <w:r>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pPr>
      <w:bookmarkStart w:id="90" w:name="__RefHeading___Toc2347_1317292878"/>
      <w:bookmarkStart w:id="91" w:name="_Toc225785100"/>
      <w:bookmarkEnd w:id="90"/>
      <w:r>
        <w:rPr/>
        <w:t>Подела скупа података (Stratified train-test split)</w:t>
      </w:r>
      <w:bookmarkEnd w:id="91"/>
    </w:p>
    <w:p>
      <w:pPr>
        <w:pStyle w:val="Style8"/>
        <w:rPr/>
      </w:pPr>
      <w:r>
        <w:rPr/>
        <w:t>Ова подела је прва ограда против цурења информација: тест подскуп се од овог тренутка потпуно издваја и не учествује ни у једном кораку обучавања — ни у скалирању, ни у селекцији обележја, ни у подешавању хиперпараметара — све до коначне евалуације изабраног модела. За разлику од самосталних корака, скалирање и селекција обележја не изводе се овде једном на целом тренинг скупу, него су део низа корака предобраде који се, заједно са моделом, обучава изнова у сваком фолду унакрсне валидације (поглавље 6).</w:t>
      </w:r>
    </w:p>
    <w:p>
      <w:pPr>
        <w:pStyle w:val="Style8"/>
        <w:rPr/>
      </w:pPr>
      <w:r>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pPr>
      <w:bookmarkStart w:id="92" w:name="__RefHeading___Toc2349_1317292878"/>
      <w:bookmarkStart w:id="93" w:name="_Toc225785099"/>
      <w:bookmarkEnd w:id="92"/>
      <w:r>
        <w:rPr/>
        <w:t>Скалирање нумеричких обележја</w:t>
      </w:r>
      <w:bookmarkEnd w:id="93"/>
    </w:p>
    <w:p>
      <w:pPr>
        <w:pStyle w:val="Style8"/>
        <w:rPr/>
      </w:pPr>
      <w:r>
        <w:rPr/>
        <w:t>Модели осетљиви на размеру обележја (логистичка регресија, SVM, KNN) захтевају да нумеричка обележја буду на упоредивом опсегу; за то се користи стандардизација (одузимање средње вредности и дељење стандардном девијацијом). Пошто се параметри стандардизације рачунају из података, не смеју се рачунати једном на целом тренинг скупу пре унакрсне валидације — у супротном би сваки валидациони фолд већ „учествовао“ у тим параметрима, што даје благо оптимистичну процену. Зато је стандардизација део низа корака предобраде који се обучава изнова у сваком фолду унакрсне валидације (поглавље 6).</w:t>
      </w:r>
    </w:p>
    <w:p>
      <w:pPr>
        <w:pStyle w:val="Style8"/>
        <w:rPr/>
      </w:pPr>
      <w:r>
        <w:rPr/>
        <w:t>Скалирају се само права нумеричка обележја — оцене, Ликертове скале и ординално кодиране колоне. Бинарна и индикаторска обележја, настала one-hot енкодирањем (пол, омиљени предмети), не скалирају се: она узимају само вредности 0 и 1, а њиховом стандардизацијом коефицијент у моделу више не би описивао прелазак из једне категорије у другу (0 → 1), него „померање за једну стандардну девијацију“ вештачки скалиране индикаторске променљиве, што би тумачење odds ratio-а (одељак 8.1) учинило нејасним. Таква обележја кроз низ корака пролазе непромењена.</w:t>
      </w:r>
    </w:p>
    <w:p>
      <w:pPr>
        <w:pStyle w:val="Style6"/>
        <w:numPr>
          <w:ilvl w:val="1"/>
          <w:numId w:val="1"/>
        </w:numPr>
        <w:ind w:hanging="567" w:left="567"/>
        <w:rPr/>
      </w:pPr>
      <w:bookmarkStart w:id="94" w:name="__RefHeading___Toc2351_1317292878"/>
      <w:bookmarkStart w:id="95" w:name="_Toc225785101"/>
      <w:bookmarkEnd w:id="94"/>
      <w:r>
        <w:rPr/>
        <w:t>Селекција обележја</w:t>
      </w:r>
      <w:bookmarkEnd w:id="95"/>
    </w:p>
    <w:p>
      <w:pPr>
        <w:pStyle w:val="Style8"/>
        <w:rPr/>
      </w:pPr>
      <w:r>
        <w:rPr/>
        <w:t>За процену појединачне повезаности сваког обележја са циљном променљивом коришћен је униваријантни ANOVA F-тест, аналогно логици статистичких тестова из ранијег поглавља. Раније коришћени критеријум — задржати сва обележја са p &lt; 0,05 — овде се не користи као правило селекције: уз 132 обележја и праг од 5%, само случајношћу се очекује око 132 × 0,05 ≈ 6–7 лажно значајних обележја (проблем вишеструког тестирања), а фиксан праг уз то произвољно одређује колико обележја модел добија.</w:t>
      </w:r>
    </w:p>
    <w:p>
      <w:pPr>
        <w:pStyle w:val="Style8"/>
        <w:rPr/>
      </w:pPr>
      <w:r>
        <w:rPr/>
        <w:t>Уместо тога, број задржаних обележја k третира се као хиперпараметар, који се бира унакрсном валидацијом заједно са хиперпараметрима сваког модела (поглавље 6) — тако избор броја обележја постаје део оптимизације модела, а не унапред задата одлука. ANOVA ранг ипак служи као користан увид: најзначајнија појединачна обележја (</w:t>
      </w:r>
      <w:r>
        <w:rPr/>
        <w:fldChar w:fldCharType="begin"/>
      </w:r>
      <w:r>
        <w:rPr/>
        <w:instrText xml:space="preserve"> REF _RefSl15 \h </w:instrText>
      </w:r>
      <w:r>
        <w:rPr/>
        <w:fldChar w:fldCharType="separate"/>
      </w:r>
      <w:r>
        <w:rPr/>
        <w:t>Слика 15</w:t>
      </w:r>
      <w:r>
        <w:rPr/>
        <w:fldChar w:fldCharType="end"/>
      </w:r>
      <w:r>
        <w:rPr/>
        <w:t>) — занимљивост и корисност математике и физике, перципирана тежина тих предмета, најчешће оцене из математике, физике и хемије, склоност ка одређеној групи предмета, омиљени предмет и пол — у потпуности се поклапају са резултатима статистичких тестова из ранијег поглавља, што потврђује конзистентност налаза кроз различите методе.</w:t>
      </w:r>
    </w:p>
    <w:p>
      <w:pPr>
        <w:pStyle w:val="Normal"/>
        <w:keepNext w:val="true"/>
        <w:jc w:val="center"/>
        <w:rPr/>
      </w:pPr>
      <w:r>
        <w:rPr/>
        <w:drawing>
          <wp:inline distT="0" distB="0" distL="0" distR="0">
            <wp:extent cx="5534660" cy="2748915"/>
            <wp:effectExtent l="0" t="0" r="0" b="0"/>
            <wp:docPr id="1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8"/>
                    <pic:cNvPicPr>
                      <a:picLocks noChangeAspect="1" noChangeArrowheads="1"/>
                    </pic:cNvPicPr>
                  </pic:nvPicPr>
                  <pic:blipFill>
                    <a:blip r:embed="rId18"/>
                    <a:stretch>
                      <a:fillRect/>
                    </a:stretch>
                  </pic:blipFill>
                  <pic:spPr bwMode="auto">
                    <a:xfrm>
                      <a:off x="0" y="0"/>
                      <a:ext cx="5534660" cy="2748915"/>
                    </a:xfrm>
                    <a:prstGeom prst="rect">
                      <a:avLst/>
                    </a:prstGeom>
                    <a:noFill/>
                  </pic:spPr>
                </pic:pic>
              </a:graphicData>
            </a:graphic>
          </wp:inline>
        </w:drawing>
      </w:r>
    </w:p>
    <w:p>
      <w:pPr>
        <w:pStyle w:val="Caption"/>
        <w:jc w:val="center"/>
        <w:rPr/>
      </w:pPr>
      <w:bookmarkStart w:id="96" w:name="_RefSl15"/>
      <w:r>
        <w:rPr/>
        <w:t xml:space="preserve">Слика </w:t>
      </w:r>
      <w:r>
        <w:rPr/>
        <w:fldChar w:fldCharType="begin"/>
      </w:r>
      <w:r>
        <w:rPr/>
        <w:instrText xml:space="preserve"> SEQ Слика \* ARABIC </w:instrText>
      </w:r>
      <w:r>
        <w:rPr/>
        <w:fldChar w:fldCharType="separate"/>
      </w:r>
      <w:r>
        <w:rPr/>
        <w:t>15</w:t>
      </w:r>
      <w:r>
        <w:rPr/>
        <w:fldChar w:fldCharType="end"/>
      </w:r>
      <w:bookmarkEnd w:id="96"/>
      <w:r>
        <w:rPr/>
        <w:t>. Најзначајнија обележја по ANOVA F-тесту (најнижа p-вредност)</w:t>
      </w:r>
    </w:p>
    <w:p>
      <w:pPr>
        <w:pStyle w:val="Normal"/>
        <w:spacing w:lineRule="auto" w:line="276" w:before="0" w:after="200"/>
        <w:rPr/>
      </w:pPr>
      <w:r>
        <w:rPr/>
      </w:r>
      <w:r>
        <w:br w:type="page"/>
      </w:r>
    </w:p>
    <w:p>
      <w:pPr>
        <w:pStyle w:val="Style5"/>
        <w:numPr>
          <w:ilvl w:val="0"/>
          <w:numId w:val="1"/>
        </w:numPr>
        <w:spacing w:before="0" w:after="840"/>
        <w:ind w:hanging="357" w:left="357"/>
        <w:rPr/>
      </w:pPr>
      <w:bookmarkStart w:id="97" w:name="__RefHeading___Toc2353_1317292878"/>
      <w:bookmarkStart w:id="98" w:name="_Toc225785102"/>
      <w:bookmarkEnd w:id="97"/>
      <w:r>
        <w:rPr/>
        <w:t>Методологија развоја и евалуације модела</w:t>
      </w:r>
      <w:bookmarkEnd w:id="98"/>
    </w:p>
    <w:p>
      <w:pPr>
        <w:pStyle w:val="Style8"/>
        <w:rPr/>
      </w:pPr>
      <w:r>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pPr>
      <w:bookmarkStart w:id="99" w:name="__RefHeading___Toc2355_1317292878"/>
      <w:bookmarkStart w:id="100" w:name="_Toc225785103"/>
      <w:bookmarkEnd w:id="99"/>
      <w:r>
        <w:rPr/>
        <w:t>Ток методологије анализе</w:t>
      </w:r>
      <w:bookmarkEnd w:id="100"/>
    </w:p>
    <w:p>
      <w:pPr>
        <w:pStyle w:val="Style8"/>
        <w:rPr/>
      </w:pPr>
      <w:r>
        <w:rPr/>
        <w:t>Развој и евалуација модела спроведени су кроз доследан низ корака, применљив на сваки од пет разматраних алгоритама. Након основне припреме података и издвајања тренинг и тест скупа, за сваки модел дефинисан је Pipeline који обухвата одговарајуће кораке претпроцесирања, селекцију обележја и сам модел. На овај начин скалирање и селекција обележја извршавају се у оквиру унакрсне валидације, искључиво на подацима који се у датом кораку користе за тренирање модела.</w:t>
      </w:r>
    </w:p>
    <w:p>
      <w:pPr>
        <w:pStyle w:val="Style8"/>
        <w:rPr/>
      </w:pPr>
      <w:r>
        <w:rPr/>
        <w:t>Целокупан ток методологије анализе, од учитавања података до интерпретације резултата и анализе правичности модела, приказан је дијаграмом тока (</w:t>
      </w:r>
      <w:r>
        <w:rPr/>
        <w:fldChar w:fldCharType="begin"/>
      </w:r>
      <w:r>
        <w:rPr/>
        <w:instrText xml:space="preserve"> REF _RefSl16 \h </w:instrText>
      </w:r>
      <w:r>
        <w:rPr/>
        <w:fldChar w:fldCharType="separate"/>
      </w:r>
      <w:r>
        <w:rPr/>
        <w:t>Слика 16</w:t>
      </w:r>
      <w:r>
        <w:rPr/>
        <w:fldChar w:fldCharType="end"/>
      </w:r>
      <w:r>
        <w:rPr/>
        <w:t>) који сажето визуелно приказује редослед свих корака примењене методологије.</w:t>
      </w:r>
    </w:p>
    <w:p>
      <w:pPr>
        <w:pStyle w:val="Normal"/>
        <w:keepNext w:val="true"/>
        <w:jc w:val="center"/>
        <w:rPr/>
      </w:pPr>
      <w:r>
        <w:rPr/>
        <w:drawing>
          <wp:inline distT="0" distB="0" distL="0" distR="0">
            <wp:extent cx="5760085" cy="7847965"/>
            <wp:effectExtent l="0" t="0" r="0" b="0"/>
            <wp:docPr id="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1"/>
                    <pic:cNvPicPr>
                      <a:picLocks noChangeAspect="1" noChangeArrowheads="1"/>
                    </pic:cNvPicPr>
                  </pic:nvPicPr>
                  <pic:blipFill>
                    <a:blip r:embed="rId19"/>
                    <a:stretch>
                      <a:fillRect/>
                    </a:stretch>
                  </pic:blipFill>
                  <pic:spPr bwMode="auto">
                    <a:xfrm>
                      <a:off x="0" y="0"/>
                      <a:ext cx="5760085" cy="7847965"/>
                    </a:xfrm>
                    <a:prstGeom prst="rect">
                      <a:avLst/>
                    </a:prstGeom>
                    <a:noFill/>
                  </pic:spPr>
                </pic:pic>
              </a:graphicData>
            </a:graphic>
          </wp:inline>
        </w:drawing>
      </w:r>
    </w:p>
    <w:p>
      <w:pPr>
        <w:pStyle w:val="Caption"/>
        <w:jc w:val="center"/>
        <w:rPr/>
      </w:pPr>
      <w:bookmarkStart w:id="101" w:name="_RefSl16"/>
      <w:r>
        <w:rPr/>
        <w:t xml:space="preserve">Слика </w:t>
      </w:r>
      <w:r>
        <w:rPr/>
        <w:fldChar w:fldCharType="begin"/>
      </w:r>
      <w:r>
        <w:rPr/>
        <w:instrText xml:space="preserve"> SEQ Слика \* ARABIC </w:instrText>
      </w:r>
      <w:r>
        <w:rPr/>
        <w:fldChar w:fldCharType="separate"/>
      </w:r>
      <w:r>
        <w:rPr/>
        <w:t>16</w:t>
      </w:r>
      <w:r>
        <w:rPr/>
        <w:fldChar w:fldCharType="end"/>
      </w:r>
      <w:bookmarkEnd w:id="101"/>
      <w:r>
        <w:rPr/>
        <w:t>. Ток методологије анализе</w:t>
      </w:r>
    </w:p>
    <w:p>
      <w:pPr>
        <w:pStyle w:val="Style6"/>
        <w:numPr>
          <w:ilvl w:val="1"/>
          <w:numId w:val="1"/>
        </w:numPr>
        <w:ind w:hanging="567" w:left="567"/>
        <w:rPr/>
      </w:pPr>
      <w:bookmarkStart w:id="102" w:name="__RefHeading___Toc2357_1317292878"/>
      <w:bookmarkStart w:id="103" w:name="_Toc225785104"/>
      <w:bookmarkEnd w:id="102"/>
      <w:r>
        <w:rPr/>
        <w:t>Стратегија валидације</w:t>
      </w:r>
      <w:bookmarkEnd w:id="103"/>
    </w:p>
    <w:p>
      <w:pPr>
        <w:pStyle w:val="Style8"/>
        <w:rPr/>
      </w:pPr>
      <w:r>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pPr>
      <w:r>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pPr>
      <w:r>
        <w:rPr>
          <w:lang w:val="sr-RS"/>
        </w:rPr>
        <w:t xml:space="preserve">У овом истраживању примењена је </w:t>
      </w:r>
      <w:r>
        <w:rPr/>
        <w:t>Stratified K-Fold</w:t>
      </w:r>
      <w:r>
        <w:rPr>
          <w:lang w:val="sr-RS"/>
        </w:rPr>
        <w:t xml:space="preserve"> шема са пет фолдова, при чему сваки фолд чува пропорцију СТЕМ и НЕ-СТЕМ ученика приближно једнаку уделу у целом тренинг скупу. Број подела </w:t>
      </w:r>
      <w:r>
        <w:rPr/>
        <w:t>K=5</w:t>
      </w:r>
      <w:r>
        <w:rPr>
          <w:lang w:val="sr-RS"/>
        </w:rPr>
        <w:t xml:space="preserve"> изабран је као компромис између стабилности процене перформанси и рачунске сложености, с обзиром на то да се унакрсна валидација примењује и током подешавања хиперпараметара свих разматраних модела.</w:t>
      </w:r>
    </w:p>
    <w:p>
      <w:pPr>
        <w:pStyle w:val="Style6"/>
        <w:numPr>
          <w:ilvl w:val="1"/>
          <w:numId w:val="1"/>
        </w:numPr>
        <w:ind w:hanging="567" w:left="567"/>
        <w:rPr/>
      </w:pPr>
      <w:bookmarkStart w:id="104" w:name="__RefHeading___Toc2359_1317292878"/>
      <w:bookmarkStart w:id="105" w:name="_Toc225785107"/>
      <w:bookmarkEnd w:id="104"/>
      <w:r>
        <w:rPr/>
        <w:t>Метрике евалуације</w:t>
      </w:r>
      <w:bookmarkEnd w:id="105"/>
    </w:p>
    <w:p>
      <w:pPr>
        <w:pStyle w:val="Style8"/>
        <w:rPr/>
      </w:pPr>
      <w:r>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pPr>
      <w:bookmarkStart w:id="106" w:name="__RefHeading___Toc2361_1317292878"/>
      <w:bookmarkStart w:id="107" w:name="_Toc225785108"/>
      <w:bookmarkEnd w:id="106"/>
      <w:r>
        <w:rPr/>
        <w:t>Accuracy</w:t>
      </w:r>
      <w:bookmarkEnd w:id="107"/>
    </w:p>
    <w:p>
      <w:pPr>
        <w:pStyle w:val="Style8"/>
        <w:rPr/>
      </w:pPr>
      <w:r>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pPr>
      <w:bookmarkStart w:id="108" w:name="__RefHeading___Toc2363_1317292878"/>
      <w:bookmarkStart w:id="109" w:name="_Toc225785109"/>
      <w:bookmarkEnd w:id="108"/>
      <w:r>
        <w:rPr/>
        <w:t>Precision</w:t>
      </w:r>
      <w:bookmarkEnd w:id="109"/>
    </w:p>
    <w:p>
      <w:pPr>
        <w:pStyle w:val="Style8"/>
        <w:rPr/>
      </w:pPr>
      <w:r>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pPr>
      <w:bookmarkStart w:id="110" w:name="__RefHeading___Toc2365_1317292878"/>
      <w:bookmarkStart w:id="111" w:name="_Toc225785110"/>
      <w:bookmarkEnd w:id="110"/>
      <w:r>
        <w:rPr/>
        <w:t>Recall</w:t>
      </w:r>
      <w:bookmarkEnd w:id="111"/>
    </w:p>
    <w:p>
      <w:pPr>
        <w:pStyle w:val="Style8"/>
        <w:rPr/>
      </w:pPr>
      <w:r>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pPr>
      <w:bookmarkStart w:id="112" w:name="__RefHeading___Toc2367_1317292878"/>
      <w:bookmarkStart w:id="113" w:name="_Toc225785111"/>
      <w:bookmarkEnd w:id="112"/>
      <w:r>
        <w:rPr/>
        <w:t>F-1 Score (Macro и Weighted)</w:t>
      </w:r>
      <w:bookmarkEnd w:id="113"/>
    </w:p>
    <w:p>
      <w:pPr>
        <w:pStyle w:val="Style8"/>
        <w:rPr/>
      </w:pPr>
      <w:r>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pPr>
      <w:bookmarkStart w:id="114" w:name="__RefHeading___Toc2369_1317292878"/>
      <w:bookmarkStart w:id="115" w:name="_Toc225785112"/>
      <w:bookmarkEnd w:id="114"/>
      <w:r>
        <w:rPr/>
        <w:t>ROC-AUC</w:t>
      </w:r>
      <w:bookmarkEnd w:id="115"/>
    </w:p>
    <w:p>
      <w:pPr>
        <w:pStyle w:val="Style8"/>
        <w:rPr/>
      </w:pPr>
      <w:r>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pPr>
      <w:bookmarkStart w:id="116" w:name="__RefHeading___Toc2371_1317292878"/>
      <w:bookmarkStart w:id="117" w:name="_Toc225785113"/>
      <w:bookmarkEnd w:id="116"/>
      <w:r>
        <w:rPr/>
        <w:t>Confusion Matrix</w:t>
      </w:r>
      <w:bookmarkEnd w:id="117"/>
    </w:p>
    <w:p>
      <w:pPr>
        <w:pStyle w:val="Style8"/>
        <w:rPr/>
      </w:pPr>
      <w:r>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 (</w:t>
      </w:r>
      <w:r>
        <w:rPr/>
        <w:fldChar w:fldCharType="begin"/>
      </w:r>
      <w:r>
        <w:rPr/>
        <w:instrText xml:space="preserve"> REF _RefSl17 \h </w:instrText>
      </w:r>
      <w:r>
        <w:rPr/>
        <w:fldChar w:fldCharType="separate"/>
      </w:r>
      <w:r>
        <w:rPr/>
        <w:t>Слика 17</w:t>
      </w:r>
      <w:r>
        <w:rPr/>
        <w:fldChar w:fldCharType="end"/>
      </w:r>
      <w:r>
        <w:rPr/>
        <w:t>).</w:t>
      </w:r>
    </w:p>
    <w:p>
      <w:pPr>
        <w:pStyle w:val="Normal"/>
        <w:keepNext w:val="true"/>
        <w:jc w:val="center"/>
        <w:rPr/>
      </w:pPr>
      <w:r>
        <w:rPr/>
        <w:drawing>
          <wp:inline distT="0" distB="0" distL="0" distR="0">
            <wp:extent cx="3200400" cy="2580005"/>
            <wp:effectExtent l="0" t="0" r="0" b="0"/>
            <wp:docPr id="19"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3.6"/>
                    <pic:cNvPicPr>
                      <a:picLocks noChangeAspect="1" noChangeArrowheads="1"/>
                    </pic:cNvPicPr>
                  </pic:nvPicPr>
                  <pic:blipFill>
                    <a:blip r:embed="rId20"/>
                    <a:stretch>
                      <a:fillRect/>
                    </a:stretch>
                  </pic:blipFill>
                  <pic:spPr bwMode="auto">
                    <a:xfrm>
                      <a:off x="0" y="0"/>
                      <a:ext cx="3200400" cy="2580005"/>
                    </a:xfrm>
                    <a:prstGeom prst="rect">
                      <a:avLst/>
                    </a:prstGeom>
                    <a:noFill/>
                  </pic:spPr>
                </pic:pic>
              </a:graphicData>
            </a:graphic>
          </wp:inline>
        </w:drawing>
      </w:r>
    </w:p>
    <w:p>
      <w:pPr>
        <w:pStyle w:val="Caption"/>
        <w:jc w:val="center"/>
        <w:rPr/>
      </w:pPr>
      <w:bookmarkStart w:id="118" w:name="_RefSl17"/>
      <w:r>
        <w:rPr/>
        <w:t xml:space="preserve">Слика </w:t>
      </w:r>
      <w:r>
        <w:rPr/>
        <w:fldChar w:fldCharType="begin"/>
      </w:r>
      <w:r>
        <w:rPr/>
        <w:instrText xml:space="preserve"> SEQ Слика \* ARABIC </w:instrText>
      </w:r>
      <w:r>
        <w:rPr/>
        <w:fldChar w:fldCharType="separate"/>
      </w:r>
      <w:r>
        <w:rPr/>
        <w:t>17</w:t>
      </w:r>
      <w:r>
        <w:rPr/>
        <w:fldChar w:fldCharType="end"/>
      </w:r>
      <w:bookmarkEnd w:id="118"/>
      <w:r>
        <w:rPr/>
        <w:t>. Матрица конфузије — демо модел логистичке регресије</w:t>
      </w:r>
    </w:p>
    <w:p>
      <w:pPr>
        <w:pStyle w:val="Style6"/>
        <w:numPr>
          <w:ilvl w:val="1"/>
          <w:numId w:val="1"/>
        </w:numPr>
        <w:ind w:hanging="567" w:left="567"/>
        <w:rPr/>
      </w:pPr>
      <w:bookmarkStart w:id="119" w:name="__RefHeading___Toc2373_1317292878"/>
      <w:bookmarkStart w:id="120" w:name="_Toc225785114"/>
      <w:bookmarkEnd w:id="119"/>
      <w:r>
        <w:rPr/>
        <w:t>Фино подешавање хиперпараметара</w:t>
      </w:r>
      <w:bookmarkEnd w:id="120"/>
    </w:p>
    <w:p>
      <w:pPr>
        <w:pStyle w:val="Style8"/>
        <w:rPr/>
      </w:pPr>
      <w:r>
        <w:rPr>
          <w:lang w:val="sr-RS"/>
        </w:rPr>
        <w:t xml:space="preserve">За избор оптималних вредности хиперпараметара модела примењен је </w:t>
      </w:r>
      <w:r>
        <w:rPr/>
        <w:t>GridSearchCV</w:t>
      </w:r>
      <w:r>
        <w:rPr>
          <w:lang w:val="sr-RS"/>
        </w:rPr>
        <w:t xml:space="preserve">. Поред тога, на логистичкој регресији је додатно испитан </w:t>
      </w:r>
      <w:r>
        <w:rPr/>
        <w:t>RandomizedSearchCV</w:t>
      </w:r>
      <w:r>
        <w:rPr>
          <w:lang w:val="sr-RS"/>
        </w:rPr>
        <w:t>, ради поређења две стратегије претраге простора хиперпараметара.</w:t>
      </w:r>
    </w:p>
    <w:p>
      <w:pPr>
        <w:pStyle w:val="Style7"/>
        <w:numPr>
          <w:ilvl w:val="2"/>
          <w:numId w:val="1"/>
        </w:numPr>
        <w:ind w:hanging="505" w:left="505"/>
        <w:rPr/>
      </w:pPr>
      <w:bookmarkStart w:id="121" w:name="__RefHeading___Toc2375_1317292878"/>
      <w:bookmarkStart w:id="122" w:name="_Toc225785115"/>
      <w:bookmarkEnd w:id="121"/>
      <w:r>
        <w:rPr/>
        <w:t>GridSearchCV</w:t>
      </w:r>
      <w:bookmarkEnd w:id="122"/>
    </w:p>
    <w:p>
      <w:pPr>
        <w:pStyle w:val="Style8"/>
        <w:rPr/>
      </w:pPr>
      <w:r>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pPr>
      <w:bookmarkStart w:id="123" w:name="__RefHeading___Toc2377_1317292878"/>
      <w:bookmarkStart w:id="124" w:name="_Toc225785116"/>
      <w:bookmarkEnd w:id="123"/>
      <w:r>
        <w:rPr/>
        <w:t>RandomizedSearchCV</w:t>
      </w:r>
      <w:bookmarkEnd w:id="124"/>
    </w:p>
    <w:p>
      <w:pPr>
        <w:pStyle w:val="Style8"/>
        <w:rPr/>
      </w:pPr>
      <w:r>
        <w:rPr/>
        <w:t>На репрезентативном моделу (логистичка регресија) обе технике примењене су над истим простором хиперпараметара, који сада укључује и број обележја k. Добијени су готово идентични резултати (F1 weighted ≈0,75 на унакрсној валидацији): GridSearchCV је изабрао k=90, а RandomizedSearchCV k=30, што показује да више вредности броја обележја даје сличне перформансе и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pPr>
      <w:bookmarkStart w:id="125" w:name="__RefHeading___Toc2379_1317292878"/>
      <w:bookmarkStart w:id="126" w:name="_Toc225785117"/>
      <w:bookmarkEnd w:id="125"/>
      <w:r>
        <w:rPr/>
        <w:t>Nested Cross-Validation</w:t>
      </w:r>
      <w:bookmarkEnd w:id="126"/>
    </w:p>
    <w:p>
      <w:pPr>
        <w:pStyle w:val="Style8"/>
        <w:rPr/>
      </w:pPr>
      <w:r>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pPr>
      <w:r>
        <w:rPr/>
        <w:t>На репрезентативном моделу (логистичка регресија), просечан резултат угнежђене унакрсне валидације (F1 weighted ≈0,745 ± 0,010) за око 0,01 је нижи од резултата добијеног обичном унакрсном валидацијом (≈0,754) — то је очекивани смер (не-угнежђена процена је благо оптимистична), али је разлика унутар једне стандардне девијације, дакле занемарљива. Угнежђена валидација спроведена је на логистичкој регресији као репрезентативном моделу, ради процене величине те пристрасности, док је за преостале моделе коришћена обична унакрсна валидација.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r>
        <w:br w:type="page"/>
      </w:r>
    </w:p>
    <w:p>
      <w:pPr>
        <w:pStyle w:val="Style5"/>
        <w:numPr>
          <w:ilvl w:val="0"/>
          <w:numId w:val="1"/>
        </w:numPr>
        <w:spacing w:before="0" w:after="840"/>
        <w:ind w:hanging="357" w:left="357"/>
        <w:rPr/>
      </w:pPr>
      <w:bookmarkStart w:id="127" w:name="__RefHeading___Toc2381_1317292878"/>
      <w:bookmarkStart w:id="128" w:name="_Toc225785118"/>
      <w:bookmarkEnd w:id="127"/>
      <w:r>
        <w:rPr/>
        <w:t>Резултати и компаративна анализа модела</w:t>
      </w:r>
      <w:bookmarkEnd w:id="128"/>
    </w:p>
    <w:p>
      <w:pPr>
        <w:pStyle w:val="Style8"/>
        <w:rPr/>
      </w:pPr>
      <w:r>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pPr>
      <w:bookmarkStart w:id="129" w:name="__RefHeading___Toc2383_1317292878"/>
      <w:bookmarkStart w:id="130" w:name="_Toc225785119"/>
      <w:bookmarkEnd w:id="129"/>
      <w:r>
        <w:rPr/>
        <w:t>Baseline модел (Dummy Classifier)</w:t>
      </w:r>
      <w:bookmarkEnd w:id="130"/>
    </w:p>
    <w:p>
      <w:pPr>
        <w:pStyle w:val="Style8"/>
        <w:rPr/>
      </w:pPr>
      <w:r>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pPr>
      <w:r>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pPr>
      <w:bookmarkStart w:id="131" w:name="__RefHeading___Toc2016_4175910513"/>
      <w:bookmarkEnd w:id="131"/>
      <w:r>
        <w:rPr/>
        <w:t>Резултати унакрсне валидације</w:t>
      </w:r>
    </w:p>
    <w:p>
      <w:pPr>
        <w:pStyle w:val="Style8"/>
        <w:rPr/>
      </w:pPr>
      <w:r>
        <w:rPr/>
        <w:t>Модели су подешавани и међусобно поређени на основу резултата петоструке унакрсне валидације на тренинг скупу (F1 weighted мера). Тест скуп се за то не користи — он служи искључиво за коначну процену изабраних модела (одељак 7.3). Просечне вредности F1 (weighted) на унакрсној валидацији, са стандардним одступањем по фолдовима, износе:</w:t>
      </w:r>
    </w:p>
    <w:p>
      <w:pPr>
        <w:pStyle w:val="Style8"/>
        <w:numPr>
          <w:ilvl w:val="0"/>
          <w:numId w:val="6"/>
        </w:numPr>
        <w:ind w:hanging="284" w:left="851"/>
        <w:rPr/>
      </w:pPr>
      <w:r>
        <w:rPr/>
        <w:t>Логистичка регресија: 0,754 ± 0,019 (изабрано k = 90 обележја).</w:t>
      </w:r>
    </w:p>
    <w:p>
      <w:pPr>
        <w:pStyle w:val="Style8"/>
        <w:numPr>
          <w:ilvl w:val="0"/>
          <w:numId w:val="6"/>
        </w:numPr>
        <w:ind w:hanging="284" w:left="851"/>
        <w:rPr/>
      </w:pPr>
      <w:r>
        <w:rPr/>
        <w:t>K-Nearest Neighbors: 0,745 ± 0,018 (k = 50).</w:t>
      </w:r>
    </w:p>
    <w:p>
      <w:pPr>
        <w:pStyle w:val="Style8"/>
        <w:numPr>
          <w:ilvl w:val="0"/>
          <w:numId w:val="6"/>
        </w:numPr>
        <w:ind w:hanging="284" w:left="851"/>
        <w:rPr/>
      </w:pPr>
      <w:r>
        <w:rPr/>
        <w:t>Support Vector Machine: 0,748 ± 0,014 (k = 90).</w:t>
      </w:r>
    </w:p>
    <w:p>
      <w:pPr>
        <w:pStyle w:val="Style8"/>
        <w:numPr>
          <w:ilvl w:val="0"/>
          <w:numId w:val="6"/>
        </w:numPr>
        <w:ind w:hanging="284" w:left="851"/>
        <w:rPr/>
      </w:pPr>
      <w:r>
        <w:rPr/>
        <w:t>Random Forest: 0,748 ± 0,019 (k = сва обележја).</w:t>
      </w:r>
    </w:p>
    <w:p>
      <w:pPr>
        <w:pStyle w:val="Style8"/>
        <w:numPr>
          <w:ilvl w:val="0"/>
          <w:numId w:val="6"/>
        </w:numPr>
        <w:ind w:hanging="284" w:left="851"/>
        <w:rPr/>
      </w:pPr>
      <w:r>
        <w:rPr/>
        <w:t>XGBoost: 0,752 ± 0,021 (k = 90). Свих пет вредности налази се у уском распону 0,745–0,754 (разлика 0,009), унутар међусобних стандардних одступања — по унакрсној валидацији модели су практично неразликиви.</w:t>
      </w:r>
    </w:p>
    <w:p>
      <w:pPr>
        <w:pStyle w:val="Style6"/>
        <w:numPr>
          <w:ilvl w:val="1"/>
          <w:numId w:val="1"/>
        </w:numPr>
        <w:ind w:hanging="567" w:left="567"/>
        <w:rPr/>
      </w:pPr>
      <w:bookmarkStart w:id="132" w:name="__RefHeading___Toc2018_4175910513"/>
      <w:bookmarkEnd w:id="132"/>
      <w:r>
        <w:rPr/>
        <w:t>Резултати на тест скупу</w:t>
      </w:r>
    </w:p>
    <w:p>
      <w:pPr>
        <w:pStyle w:val="Style8"/>
        <w:rPr/>
      </w:pPr>
      <w:r>
        <w:rPr/>
        <w:t>Изабрани (подешени) модели евалуирани су на независном тест скупу, који до сада ни на који начин није коришћен. Резултати по моделима:</w:t>
      </w:r>
    </w:p>
    <w:p>
      <w:pPr>
        <w:pStyle w:val="Style8"/>
        <w:numPr>
          <w:ilvl w:val="0"/>
          <w:numId w:val="6"/>
        </w:numPr>
        <w:ind w:hanging="284" w:left="851"/>
        <w:rPr/>
      </w:pPr>
      <w:r>
        <w:rPr/>
        <w:t>Логистичка регресија: Accuracy ≈0,73, ROC-AUC ≈0,80.</w:t>
      </w:r>
    </w:p>
    <w:p>
      <w:pPr>
        <w:pStyle w:val="Style8"/>
        <w:numPr>
          <w:ilvl w:val="0"/>
          <w:numId w:val="6"/>
        </w:numPr>
        <w:ind w:hanging="284" w:left="851"/>
        <w:rPr/>
      </w:pPr>
      <w:r>
        <w:rPr/>
        <w:t>K-Nearest Neighbors: Accuracy ≈0,70, ROC-AUC ≈0,77.</w:t>
      </w:r>
    </w:p>
    <w:p>
      <w:pPr>
        <w:pStyle w:val="Style8"/>
        <w:numPr>
          <w:ilvl w:val="0"/>
          <w:numId w:val="6"/>
        </w:numPr>
        <w:ind w:hanging="284" w:left="851"/>
        <w:rPr/>
      </w:pPr>
      <w:r>
        <w:rPr/>
        <w:t>Support Vector Machine: Accuracy ≈0,79, ROC-AUC ≈0,81.</w:t>
      </w:r>
    </w:p>
    <w:p>
      <w:pPr>
        <w:pStyle w:val="Style8"/>
        <w:numPr>
          <w:ilvl w:val="0"/>
          <w:numId w:val="6"/>
        </w:numPr>
        <w:ind w:hanging="284" w:left="851"/>
        <w:rPr/>
      </w:pPr>
      <w:r>
        <w:rPr/>
        <w:t>Random Forest: Accuracy ≈0,75, ROC-AUC ≈0,81.</w:t>
      </w:r>
    </w:p>
    <w:p>
      <w:pPr>
        <w:pStyle w:val="Style8"/>
        <w:numPr>
          <w:ilvl w:val="0"/>
          <w:numId w:val="6"/>
        </w:numPr>
        <w:ind w:hanging="284" w:left="851"/>
        <w:rPr/>
      </w:pPr>
      <w:r>
        <w:rPr/>
        <w:t>XGBoost: Accuracy ≈0,73, ROC-AUC ≈0,81.</w:t>
      </w:r>
    </w:p>
    <w:p>
      <w:pPr>
        <w:pStyle w:val="Style8"/>
        <w:rPr/>
      </w:pPr>
      <w:r>
        <w:rPr/>
        <w:t>Сви модели су знатно изнад baseline-а (Accuracy 0,585, ROC-AUC 0,5). Тест скуп не служи за избор „најбољег“ модела — тај избор се доноси на основу унакрсне валидације — него за непристрасну процену перформанси изабраних модела.</w:t>
      </w:r>
    </w:p>
    <w:p>
      <w:pPr>
        <w:pStyle w:val="Style6"/>
        <w:numPr>
          <w:ilvl w:val="1"/>
          <w:numId w:val="1"/>
        </w:numPr>
        <w:ind w:hanging="567" w:left="567"/>
        <w:rPr/>
      </w:pPr>
      <w:bookmarkStart w:id="133" w:name="__RefHeading___Toc2020_4175910513"/>
      <w:bookmarkEnd w:id="133"/>
      <w:r>
        <w:rPr/>
        <w:t>Упоредна анализа модела</w:t>
      </w:r>
    </w:p>
    <w:p>
      <w:pPr>
        <w:pStyle w:val="Style8"/>
        <w:rPr/>
      </w:pPr>
      <w:r>
        <w:rPr/>
        <w:t>Резултати свих шест модела (baseline и пет стварних) сакупљени су у једну упоредну табелу (</w:t>
      </w:r>
      <w:r>
        <w:rPr/>
        <w:fldChar w:fldCharType="begin"/>
      </w:r>
      <w:r>
        <w:rPr/>
        <w:instrText xml:space="preserve"> REF _RefSl18 \h </w:instrText>
      </w:r>
      <w:r>
        <w:rPr/>
        <w:fldChar w:fldCharType="separate"/>
      </w:r>
      <w:r>
        <w:rPr/>
        <w:t>Слика 18</w:t>
      </w:r>
      <w:r>
        <w:rPr/>
        <w:fldChar w:fldCharType="end"/>
      </w:r>
      <w:r>
        <w:rPr/>
        <w:t>) која спаја две ствари: F1 (weighted) на унакрсној валидацији — на основу које су модели поређени — и метрике на независном тест скупу као коначну процену. На тест скупу SVM има највишу Accuracy (0,787) и F1 (weighted) (0,786), а Random Forest највиши ROC-AUC (0,812; XGBoost 0,810, SVM 0,807 — готово изједначено). Међутим, при n = 207 оквирна 95% полуширина интервала поверења за тачност износи ±0,06: разлика између SVM-а и Random Forest-а (0,033) је унутар тог интервала, док једино K-Nearest Neighbors (0,696, разлика ≈0,09) поуздано заостаје. Изабрани број обележја разликује се по моделу (KNN k = 50, SVM/логистичка регресија/XGBoost k = 90, Random Forest сва обележја), што показује да не постоји један „тачан“ број. Сви модели знатно надмашују референтни модел (Accuracy 0,585, ROC-AUC 0,5).</w:t>
      </w:r>
    </w:p>
    <w:p>
      <w:pPr>
        <w:pStyle w:val="Normal"/>
        <w:keepNext w:val="true"/>
        <w:jc w:val="center"/>
        <w:rPr/>
      </w:pPr>
      <w:r>
        <w:rPr/>
        <w:drawing>
          <wp:inline distT="0" distB="0" distL="0" distR="0">
            <wp:extent cx="5534660" cy="2920365"/>
            <wp:effectExtent l="0" t="0" r="0" b="0"/>
            <wp:docPr id="2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3"/>
                    <pic:cNvPicPr>
                      <a:picLocks noChangeAspect="1" noChangeArrowheads="1"/>
                    </pic:cNvPicPr>
                  </pic:nvPicPr>
                  <pic:blipFill>
                    <a:blip r:embed="rId21"/>
                    <a:stretch>
                      <a:fillRect/>
                    </a:stretch>
                  </pic:blipFill>
                  <pic:spPr bwMode="auto">
                    <a:xfrm>
                      <a:off x="0" y="0"/>
                      <a:ext cx="5534660" cy="2920365"/>
                    </a:xfrm>
                    <a:prstGeom prst="rect">
                      <a:avLst/>
                    </a:prstGeom>
                    <a:noFill/>
                  </pic:spPr>
                </pic:pic>
              </a:graphicData>
            </a:graphic>
          </wp:inline>
        </w:drawing>
      </w:r>
    </w:p>
    <w:p>
      <w:pPr>
        <w:pStyle w:val="Caption"/>
        <w:jc w:val="center"/>
        <w:rPr/>
      </w:pPr>
      <w:bookmarkStart w:id="134" w:name="_RefSl18"/>
      <w:r>
        <w:rPr/>
        <w:t xml:space="preserve">Слика </w:t>
      </w:r>
      <w:r>
        <w:rPr/>
        <w:fldChar w:fldCharType="begin"/>
      </w:r>
      <w:r>
        <w:rPr/>
        <w:instrText xml:space="preserve"> SEQ Слика \* ARABIC </w:instrText>
      </w:r>
      <w:r>
        <w:rPr/>
        <w:fldChar w:fldCharType="separate"/>
      </w:r>
      <w:r>
        <w:rPr/>
        <w:t>18</w:t>
      </w:r>
      <w:r>
        <w:rPr/>
        <w:fldChar w:fldCharType="end"/>
      </w:r>
      <w:bookmarkEnd w:id="134"/>
      <w:r>
        <w:rPr/>
        <w:t>. Поређење модела по тачности и ROC-AUC мери (тест скуп)</w:t>
      </w:r>
    </w:p>
    <w:p>
      <w:pPr>
        <w:pStyle w:val="Style6"/>
        <w:numPr>
          <w:ilvl w:val="1"/>
          <w:numId w:val="1"/>
        </w:numPr>
        <w:ind w:hanging="567" w:left="567"/>
        <w:rPr/>
      </w:pPr>
      <w:bookmarkStart w:id="135" w:name="__RefHeading___Toc2389_1317292878"/>
      <w:bookmarkStart w:id="136" w:name="_Toc225785122"/>
      <w:bookmarkEnd w:id="135"/>
      <w:r>
        <w:rPr/>
        <w:t>ROC криве</w:t>
      </w:r>
      <w:bookmarkEnd w:id="136"/>
    </w:p>
    <w:p>
      <w:pPr>
        <w:pStyle w:val="Style8"/>
        <w:rPr/>
      </w:pPr>
      <w:r>
        <w:rPr/>
        <w:t>ROC криве свих шест модела приказане су заједно (</w:t>
      </w:r>
      <w:r>
        <w:rPr/>
        <w:fldChar w:fldCharType="begin"/>
      </w:r>
      <w:r>
        <w:rPr/>
        <w:instrText xml:space="preserve"> REF _RefSl19 \h </w:instrText>
      </w:r>
      <w:r>
        <w:rPr/>
        <w:fldChar w:fldCharType="separate"/>
      </w:r>
      <w:r>
        <w:rPr/>
        <w:t>Слика 19</w:t>
      </w:r>
      <w:r>
        <w:rPr/>
        <w:fldChar w:fldCharType="end"/>
      </w:r>
      <w:r>
        <w:rPr/>
        <w:t>) ради визуелног поређења способности разликовања СТЕМ и НЕ-СТЕМ ученика, независно од избора прага одлуке. Криве свих пет стварних модела леже изнад дијагонале случајног погађања. Random Forest (AUC 0,812), XGBoost (0,810) и SVM (0,807) имају међусобно готово изједначене криве и највеће површине; логистичка регресија је нешто нижа (0,800), а KNN најближи дијагонали (0,766), у складу са упоредном табелом.</w:t>
      </w:r>
    </w:p>
    <w:p>
      <w:pPr>
        <w:pStyle w:val="Normal"/>
        <w:keepNext w:val="true"/>
        <w:jc w:val="center"/>
        <w:rPr/>
      </w:pPr>
      <w:r>
        <w:rPr/>
        <w:drawing>
          <wp:inline distT="0" distB="0" distL="0" distR="0">
            <wp:extent cx="4319905" cy="3643630"/>
            <wp:effectExtent l="0" t="0" r="0" b="0"/>
            <wp:docPr id="2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4"/>
                    <pic:cNvPicPr>
                      <a:picLocks noChangeAspect="1" noChangeArrowheads="1"/>
                    </pic:cNvPicPr>
                  </pic:nvPicPr>
                  <pic:blipFill>
                    <a:blip r:embed="rId22"/>
                    <a:stretch>
                      <a:fillRect/>
                    </a:stretch>
                  </pic:blipFill>
                  <pic:spPr bwMode="auto">
                    <a:xfrm>
                      <a:off x="0" y="0"/>
                      <a:ext cx="4319905" cy="3643630"/>
                    </a:xfrm>
                    <a:prstGeom prst="rect">
                      <a:avLst/>
                    </a:prstGeom>
                    <a:noFill/>
                  </pic:spPr>
                </pic:pic>
              </a:graphicData>
            </a:graphic>
          </wp:inline>
        </w:drawing>
      </w:r>
    </w:p>
    <w:p>
      <w:pPr>
        <w:pStyle w:val="Caption"/>
        <w:jc w:val="center"/>
        <w:rPr/>
      </w:pPr>
      <w:bookmarkStart w:id="137" w:name="_RefSl19"/>
      <w:r>
        <w:rPr/>
        <w:t xml:space="preserve">Слика </w:t>
      </w:r>
      <w:r>
        <w:rPr/>
        <w:fldChar w:fldCharType="begin"/>
      </w:r>
      <w:r>
        <w:rPr/>
        <w:instrText xml:space="preserve"> SEQ Слика \* ARABIC </w:instrText>
      </w:r>
      <w:r>
        <w:rPr/>
        <w:fldChar w:fldCharType="separate"/>
      </w:r>
      <w:r>
        <w:rPr/>
        <w:t>19</w:t>
      </w:r>
      <w:r>
        <w:rPr/>
        <w:fldChar w:fldCharType="end"/>
      </w:r>
      <w:bookmarkEnd w:id="137"/>
      <w:r>
        <w:rPr/>
        <w:t>. ROC криве свих модела</w:t>
      </w:r>
    </w:p>
    <w:p>
      <w:pPr>
        <w:pStyle w:val="Style6"/>
        <w:numPr>
          <w:ilvl w:val="1"/>
          <w:numId w:val="1"/>
        </w:numPr>
        <w:ind w:hanging="567" w:left="567"/>
        <w:rPr/>
      </w:pPr>
      <w:bookmarkStart w:id="138" w:name="__RefHeading___Toc2391_1317292878"/>
      <w:bookmarkStart w:id="139" w:name="_Toc225785123"/>
      <w:bookmarkEnd w:id="138"/>
      <w:r>
        <w:rPr/>
        <w:t>Дискусија перформанси</w:t>
      </w:r>
      <w:bookmarkEnd w:id="139"/>
    </w:p>
    <w:p>
      <w:pPr>
        <w:pStyle w:val="Style8"/>
        <w:rPr/>
      </w:pPr>
      <w:r>
        <w:rPr/>
        <w:t>По унакрсној валидацији пет модела је практично неразликиво (F1 weighted 0,745–0,754, разлика 0,009 — унутар међусобних стандардних одступања). На тест скупу SVM води по тачности (0,787) и F1 (0,786), а Random Forest по ROC-AUC (0,812), али је разлика међу четири боља модела (SVM, Random Forest, XGBoost, логистичка регресија) унутар оквирне 95% границе узорачке грешке (±0,06 при n = 207) — не може се тврдити да је било који од њих поуздано најбољи. Једино KNN (тачност 0,696) заостаје изван те границе, вероватно због осетљивости на димензионалност простора обележја насталог one-hot енкодирањем.</w:t>
      </w:r>
    </w:p>
    <w:p>
      <w:pPr>
        <w:pStyle w:val="Style8"/>
        <w:rPr/>
      </w:pPr>
      <w:r>
        <w:rPr/>
        <w:t>Разлика у тачности између најбољег модела и baseline-а износи готово 0,20 (двадесет процентних поена), што показује да модели заиста уче стваран образац из података, а не само погађају већинску класу. Разлике међу појединачним алгоритмима су, дакле, мале у односу на заједничку предност коју сви имају над тривијалним погађањем.</w:t>
      </w:r>
    </w:p>
    <w:p>
      <w:pPr>
        <w:pStyle w:val="Style8"/>
        <w:rPr/>
      </w:pPr>
      <w:r>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pPr>
      <w:r>
        <w:rPr/>
      </w:r>
      <w:r>
        <w:br w:type="page"/>
      </w:r>
    </w:p>
    <w:p>
      <w:pPr>
        <w:pStyle w:val="Style5"/>
        <w:numPr>
          <w:ilvl w:val="0"/>
          <w:numId w:val="1"/>
        </w:numPr>
        <w:spacing w:before="0" w:after="840"/>
        <w:ind w:hanging="357" w:left="357"/>
        <w:rPr/>
      </w:pPr>
      <w:bookmarkStart w:id="140" w:name="__RefHeading___Toc2393_1317292878"/>
      <w:bookmarkStart w:id="141" w:name="_Toc225785124"/>
      <w:bookmarkEnd w:id="140"/>
      <w:r>
        <w:rPr/>
        <w:t>Интерпретабилност модела и анализа значаја обележја</w:t>
      </w:r>
      <w:bookmarkEnd w:id="141"/>
    </w:p>
    <w:p>
      <w:pPr>
        <w:pStyle w:val="Style8"/>
        <w:rPr/>
      </w:pPr>
      <w:r>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pPr>
      <w:bookmarkStart w:id="142" w:name="__RefHeading___Toc2395_1317292878"/>
      <w:bookmarkStart w:id="143" w:name="_Toc225785125"/>
      <w:bookmarkEnd w:id="142"/>
      <w:r>
        <w:rPr/>
        <w:t>Коефицијенти логистичке регресије (Odds Ratio интерпретација)</w:t>
      </w:r>
      <w:bookmarkEnd w:id="143"/>
    </w:p>
    <w:p>
      <w:pPr>
        <w:pStyle w:val="Style8"/>
        <w:rPr/>
      </w:pPr>
      <w:r>
        <w:rPr/>
        <w:t>Коефицијенти логистичке регресије тумаче се кроз odds ratio вредности, које показују како свако обележје мења изгледе (odds) за припадност СТЕМ групи. Тумачење odds ratio-а зависи од типа обележја: нумеричка обележја се скалирају унутар низа корака (одељак 5.7), па се њихов odds ratio односи на пораст од једне стандардне девијације; бинарна и индикаторска обележја се не скалирају, па се њихов odds ratio односи директно на прелазак из једне категорије у другу (0 → 1).</w:t>
      </w:r>
    </w:p>
    <w:p>
      <w:pPr>
        <w:pStyle w:val="Style8"/>
        <w:rPr/>
      </w:pPr>
      <w:r>
        <w:rPr/>
        <w:t>L1 регуларизација, изабрана претрагом хиперпараметара (одељак 6.4), свела је 53 од 90 изабраних коефицијената тачно на нулу — преосталих 37 обележја стварно доприноси предикцији.</w:t>
      </w:r>
    </w:p>
    <w:p>
      <w:pPr>
        <w:pStyle w:val="Style8"/>
        <w:rPr/>
      </w:pPr>
      <w:r>
        <w:rPr/>
        <w:t>Најизраженији позитиван утицај на изгледе за СТЕМ опредељење има пол ученика (Пол:_мушки, odds ratio ≈1,68 — мушки пол је повезан са око 68% већим изгледима за СТЕМ у односу на женски, у складу са χ² тестом из одељка 4.5), затим склоност ка одређеној групи предмета као фактор одлуке о упису (odds ratio ≈1,46) и занимљивост физике (odds ratio ≈1,41). Најизраженији негативан утицај има перципирана тежина математике (odds ratio ≈0,75 — виша пријављена тежина повезана је са мањим изгледима за СТЕМ), у складу са негативном корелацијом уоченом у одељку 4.4 (</w:t>
      </w:r>
      <w:r>
        <w:rPr/>
        <w:fldChar w:fldCharType="begin"/>
      </w:r>
      <w:r>
        <w:rPr/>
        <w:instrText xml:space="preserve"> REF _RefSl20 \h </w:instrText>
      </w:r>
      <w:r>
        <w:rPr/>
        <w:fldChar w:fldCharType="separate"/>
      </w:r>
      <w:r>
        <w:rPr/>
        <w:t>Слика 20</w:t>
      </w:r>
      <w:r>
        <w:rPr/>
        <w:fldChar w:fldCharType="end"/>
      </w:r>
      <w:r>
        <w:rPr/>
        <w:t>).</w:t>
      </w:r>
    </w:p>
    <w:p>
      <w:pPr>
        <w:pStyle w:val="Style8"/>
        <w:rPr/>
      </w:pPr>
      <w:r>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keepNext w:val="true"/>
        <w:jc w:val="center"/>
        <w:rPr/>
      </w:pPr>
      <w:r>
        <w:rPr/>
        <w:drawing>
          <wp:inline distT="0" distB="0" distL="0" distR="0">
            <wp:extent cx="5200015" cy="3489960"/>
            <wp:effectExtent l="0" t="0" r="0" b="0"/>
            <wp:docPr id="2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1"/>
                    <pic:cNvPicPr>
                      <a:picLocks noChangeAspect="1" noChangeArrowheads="1"/>
                    </pic:cNvPicPr>
                  </pic:nvPicPr>
                  <pic:blipFill>
                    <a:blip r:embed="rId23"/>
                    <a:stretch>
                      <a:fillRect/>
                    </a:stretch>
                  </pic:blipFill>
                  <pic:spPr bwMode="auto">
                    <a:xfrm>
                      <a:off x="0" y="0"/>
                      <a:ext cx="5200015" cy="3489960"/>
                    </a:xfrm>
                    <a:prstGeom prst="rect">
                      <a:avLst/>
                    </a:prstGeom>
                    <a:noFill/>
                  </pic:spPr>
                </pic:pic>
              </a:graphicData>
            </a:graphic>
          </wp:inline>
        </w:drawing>
      </w:r>
    </w:p>
    <w:p>
      <w:pPr>
        <w:pStyle w:val="Caption"/>
        <w:jc w:val="center"/>
        <w:rPr/>
      </w:pPr>
      <w:bookmarkStart w:id="144" w:name="_RefSl20"/>
      <w:r>
        <w:rPr/>
        <w:t xml:space="preserve">Слика </w:t>
      </w:r>
      <w:r>
        <w:rPr/>
        <w:fldChar w:fldCharType="begin"/>
      </w:r>
      <w:r>
        <w:rPr/>
        <w:instrText xml:space="preserve"> SEQ Слика \* ARABIC </w:instrText>
      </w:r>
      <w:r>
        <w:rPr/>
        <w:fldChar w:fldCharType="separate"/>
      </w:r>
      <w:r>
        <w:rPr/>
        <w:t>20</w:t>
      </w:r>
      <w:r>
        <w:rPr/>
        <w:fldChar w:fldCharType="end"/>
      </w:r>
      <w:bookmarkEnd w:id="144"/>
      <w:r>
        <w:rPr/>
        <w:t>. Обележја са највећим утицајем на изгледе за СТЕМ (коефицијенти логистичке регресије)</w:t>
      </w:r>
    </w:p>
    <w:p>
      <w:pPr>
        <w:pStyle w:val="Style6"/>
        <w:numPr>
          <w:ilvl w:val="1"/>
          <w:numId w:val="1"/>
        </w:numPr>
        <w:ind w:hanging="567" w:left="567"/>
        <w:rPr/>
      </w:pPr>
      <w:bookmarkStart w:id="145" w:name="__RefHeading___Toc2397_1317292878"/>
      <w:bookmarkStart w:id="146" w:name="_Toc225785126"/>
      <w:bookmarkEnd w:id="145"/>
      <w:r>
        <w:rPr/>
        <w:t>Feature importance (Random Forest, XGBoost)</w:t>
      </w:r>
      <w:bookmarkEnd w:id="146"/>
    </w:p>
    <w:p>
      <w:pPr>
        <w:pStyle w:val="Style8"/>
        <w:rPr/>
      </w:pPr>
      <w:r>
        <w:rPr/>
        <w:t>Мера значаја обележја (feature importance) код Random Forest и XGBoost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pPr>
      <w:r>
        <w:rPr/>
        <w:t>Топ 10 обележја по значају код ова два модела (</w:t>
      </w:r>
      <w:r>
        <w:rPr/>
        <w:fldChar w:fldCharType="begin"/>
      </w:r>
      <w:r>
        <w:rPr/>
        <w:instrText xml:space="preserve"> REF _RefSl21 \h </w:instrText>
      </w:r>
      <w:r>
        <w:rPr/>
        <w:fldChar w:fldCharType="separate"/>
      </w:r>
      <w:r>
        <w:rPr/>
        <w:t>Слика 21</w:t>
      </w:r>
      <w:r>
        <w:rPr/>
        <w:fldChar w:fldCharType="end"/>
      </w:r>
      <w:r>
        <w:rPr/>
        <w:t>)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(odds ratio),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pPr>
      <w:r>
        <w:rPr/>
        <w:t>Најчешћа оцена из математике јаче се издваја код XGBoost-а него код Random Forest-а,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keepNext w:val="true"/>
        <w:jc w:val="center"/>
        <w:rPr/>
      </w:pPr>
      <w:r>
        <w:rPr/>
        <w:drawing>
          <wp:inline distT="0" distB="0" distL="0" distR="0">
            <wp:extent cx="5528310" cy="3833495"/>
            <wp:effectExtent l="0" t="0" r="0" b="0"/>
            <wp:docPr id="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8.2"/>
                    <pic:cNvPicPr>
                      <a:picLocks noChangeAspect="1" noChangeArrowheads="1"/>
                    </pic:cNvPicPr>
                  </pic:nvPicPr>
                  <pic:blipFill>
                    <a:blip r:embed="rId24"/>
                    <a:stretch>
                      <a:fillRect/>
                    </a:stretch>
                  </pic:blipFill>
                  <pic:spPr bwMode="auto">
                    <a:xfrm>
                      <a:off x="0" y="0"/>
                      <a:ext cx="5528310" cy="3833495"/>
                    </a:xfrm>
                    <a:prstGeom prst="rect">
                      <a:avLst/>
                    </a:prstGeom>
                    <a:noFill/>
                  </pic:spPr>
                </pic:pic>
              </a:graphicData>
            </a:graphic>
          </wp:inline>
        </w:drawing>
      </w:r>
    </w:p>
    <w:p>
      <w:pPr>
        <w:pStyle w:val="Caption"/>
        <w:jc w:val="center"/>
        <w:rPr/>
      </w:pPr>
      <w:bookmarkStart w:id="147" w:name="_RefSl21"/>
      <w:r>
        <w:rPr/>
        <w:t xml:space="preserve">Слика </w:t>
      </w:r>
      <w:r>
        <w:rPr/>
        <w:fldChar w:fldCharType="begin"/>
      </w:r>
      <w:r>
        <w:rPr/>
        <w:instrText xml:space="preserve"> SEQ Слика \* ARABIC </w:instrText>
      </w:r>
      <w:r>
        <w:rPr/>
        <w:fldChar w:fldCharType="separate"/>
      </w:r>
      <w:r>
        <w:rPr/>
        <w:t>21</w:t>
      </w:r>
      <w:r>
        <w:rPr/>
        <w:fldChar w:fldCharType="end"/>
      </w:r>
      <w:bookmarkEnd w:id="147"/>
      <w:r>
        <w:rPr/>
        <w:t>. Значај обележја код Random Forest и XGBoost модела</w:t>
      </w:r>
    </w:p>
    <w:p>
      <w:pPr>
        <w:pStyle w:val="Style6"/>
        <w:numPr>
          <w:ilvl w:val="1"/>
          <w:numId w:val="1"/>
        </w:numPr>
        <w:ind w:hanging="567" w:left="567"/>
        <w:rPr/>
      </w:pPr>
      <w:bookmarkStart w:id="148" w:name="__RefHeading___Toc2399_1317292878"/>
      <w:bookmarkStart w:id="149" w:name="_Toc225785127"/>
      <w:bookmarkEnd w:id="148"/>
      <w:r>
        <w:rPr/>
        <w:t>SHAP анализа</w:t>
      </w:r>
      <w:bookmarkEnd w:id="149"/>
    </w:p>
    <w:p>
      <w:pPr>
        <w:pStyle w:val="Style8"/>
        <w:rPr/>
      </w:pPr>
      <w:r>
        <w:rPr/>
        <w:t>Применом SHAP анализе (TreeExplainer на Random Forest моделу, доприноси предикцији СТЕМ класе) потврђује се исти скуп најутицајнијих обележја као у одељцима 8.1 и 8.2: прва три места по просечном апсолутном SHAP доприносу заузимају занимљивост физике, склоност ка одређеној групи предмета и занимљивост математике, а за њима следе корисност физике и пол ученика.</w:t>
      </w:r>
    </w:p>
    <w:p>
      <w:pPr>
        <w:pStyle w:val="Style8"/>
        <w:rPr/>
      </w:pPr>
      <w:r>
        <w:rPr/>
        <w:t>Summary plot (</w:t>
      </w:r>
      <w:r>
        <w:rPr/>
        <w:fldChar w:fldCharType="begin"/>
      </w:r>
      <w:r>
        <w:rPr/>
        <w:instrText xml:space="preserve"> REF _RefSl22 \h </w:instrText>
      </w:r>
      <w:r>
        <w:rPr/>
        <w:fldChar w:fldCharType="separate"/>
      </w:r>
      <w:r>
        <w:rPr/>
        <w:t>Слика 22</w:t>
      </w:r>
      <w:r>
        <w:rPr/>
        <w:fldChar w:fldCharType="end"/>
      </w:r>
      <w:r>
        <w:rPr/>
        <w:t>) додатно показује и смер утицаја сваке вредности обележја: високе вредности занимљивости физике и математике доследно повлаче позитиван SHAP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SHAP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keepNext w:val="true"/>
        <w:jc w:val="center"/>
        <w:rPr/>
      </w:pPr>
      <w:r>
        <w:rPr/>
        <w:drawing>
          <wp:inline distT="0" distB="0" distL="0" distR="0">
            <wp:extent cx="4399915" cy="4116705"/>
            <wp:effectExtent l="0" t="0" r="0" b="0"/>
            <wp:docPr id="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3"/>
                    <pic:cNvPicPr>
                      <a:picLocks noChangeAspect="1" noChangeArrowheads="1"/>
                    </pic:cNvPicPr>
                  </pic:nvPicPr>
                  <pic:blipFill>
                    <a:blip r:embed="rId25"/>
                    <a:stretch>
                      <a:fillRect/>
                    </a:stretch>
                  </pic:blipFill>
                  <pic:spPr bwMode="auto">
                    <a:xfrm>
                      <a:off x="0" y="0"/>
                      <a:ext cx="4399915" cy="4116705"/>
                    </a:xfrm>
                    <a:prstGeom prst="rect">
                      <a:avLst/>
                    </a:prstGeom>
                    <a:noFill/>
                  </pic:spPr>
                </pic:pic>
              </a:graphicData>
            </a:graphic>
          </wp:inline>
        </w:drawing>
      </w:r>
    </w:p>
    <w:p>
      <w:pPr>
        <w:pStyle w:val="Caption"/>
        <w:jc w:val="center"/>
        <w:rPr/>
      </w:pPr>
      <w:bookmarkStart w:id="150" w:name="_RefSl22"/>
      <w:r>
        <w:rPr/>
        <w:t xml:space="preserve">Слика </w:t>
      </w:r>
      <w:r>
        <w:rPr/>
        <w:fldChar w:fldCharType="begin"/>
      </w:r>
      <w:r>
        <w:rPr/>
        <w:instrText xml:space="preserve"> SEQ Слика \* ARABIC </w:instrText>
      </w:r>
      <w:r>
        <w:rPr/>
        <w:fldChar w:fldCharType="separate"/>
      </w:r>
      <w:r>
        <w:rPr/>
        <w:t>22</w:t>
      </w:r>
      <w:r>
        <w:rPr/>
        <w:fldChar w:fldCharType="end"/>
      </w:r>
      <w:bookmarkEnd w:id="150"/>
      <w:r>
        <w:rPr/>
        <w:t>. SHAP summary plot — доприноси обележја предикцији СТЕМ</w:t>
      </w:r>
    </w:p>
    <w:p>
      <w:pPr>
        <w:pStyle w:val="Style6"/>
        <w:numPr>
          <w:ilvl w:val="1"/>
          <w:numId w:val="1"/>
        </w:numPr>
        <w:ind w:hanging="567" w:left="567"/>
        <w:rPr/>
      </w:pPr>
      <w:bookmarkStart w:id="151" w:name="__RefHeading___Toc2401_1317292878"/>
      <w:bookmarkStart w:id="152" w:name="_Toc225785128"/>
      <w:bookmarkEnd w:id="151"/>
      <w:bookmarkEnd w:id="152"/>
      <w:r>
        <w:rPr/>
        <w:t>Идентификација најзначајнијих предиктора СТЕМ опредељења</w:t>
      </w:r>
    </w:p>
    <w:p>
      <w:pPr>
        <w:pStyle w:val="Style8"/>
        <w:rPr/>
      </w:pPr>
      <w:r>
        <w:rPr/>
        <w:t>Синтезом три независне методе интерпретације (коефицијенти логистичке регресије, feature importance код Random Forest и XGBoost, и SHAP анализа) (</w:t>
      </w:r>
      <w:r>
        <w:rPr/>
        <w:fldChar w:fldCharType="begin"/>
      </w:r>
      <w:r>
        <w:rPr/>
        <w:instrText xml:space="preserve"> REF _RefSl23 \h </w:instrText>
      </w:r>
      <w:r>
        <w:rPr/>
        <w:fldChar w:fldCharType="separate"/>
      </w:r>
      <w:r>
        <w:rPr/>
        <w:t>Слика 23</w:t>
      </w:r>
      <w:r>
        <w:rPr/>
        <w:fldChar w:fldCharType="end"/>
      </w:r>
      <w:r>
        <w:rPr/>
        <w:t>) добија се конзистентан одговор: занимљивост физике има најнижи просечан ранг (≈1,7) кроз све три методе и издваја се као појединачно најзначајнији предиктор СТЕМ опредељења. Одмах иза ње следе склоност ка одређеној групи предмета (≈2,7), занимљивост математике (≈3,3) и пол ученика (≈4,0), а затим перципирана тежина математике.</w:t>
      </w:r>
    </w:p>
    <w:p>
      <w:pPr>
        <w:pStyle w:val="Style8"/>
        <w:rPr/>
      </w:pPr>
      <w:r>
        <w:rPr/>
        <w:t>Важно је нагласити да ниједан појединачни предиктор није доминантан у апсолутном смислу (видети одељак 9.3)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keepNext w:val="true"/>
        <w:jc w:val="center"/>
        <w:rPr/>
      </w:pPr>
      <w:r>
        <w:rPr/>
        <w:drawing>
          <wp:inline distT="0" distB="0" distL="0" distR="0">
            <wp:extent cx="4999990" cy="3201035"/>
            <wp:effectExtent l="0" t="0" r="0" b="0"/>
            <wp:docPr id="2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4"/>
                    <pic:cNvPicPr>
                      <a:picLocks noChangeAspect="1" noChangeArrowheads="1"/>
                    </pic:cNvPicPr>
                  </pic:nvPicPr>
                  <pic:blipFill>
                    <a:blip r:embed="rId26"/>
                    <a:stretch>
                      <a:fillRect/>
                    </a:stretch>
                  </pic:blipFill>
                  <pic:spPr bwMode="auto">
                    <a:xfrm>
                      <a:off x="0" y="0"/>
                      <a:ext cx="4999990" cy="3201035"/>
                    </a:xfrm>
                    <a:prstGeom prst="rect">
                      <a:avLst/>
                    </a:prstGeom>
                    <a:noFill/>
                  </pic:spPr>
                </pic:pic>
              </a:graphicData>
            </a:graphic>
          </wp:inline>
        </w:drawing>
      </w:r>
    </w:p>
    <w:p>
      <w:pPr>
        <w:pStyle w:val="Caption"/>
        <w:jc w:val="center"/>
        <w:rPr/>
      </w:pPr>
      <w:bookmarkStart w:id="153" w:name="_RefSl23"/>
      <w:r>
        <w:rPr/>
        <w:t xml:space="preserve">Слика </w:t>
      </w:r>
      <w:r>
        <w:rPr/>
        <w:fldChar w:fldCharType="begin"/>
      </w:r>
      <w:r>
        <w:rPr/>
        <w:instrText xml:space="preserve"> SEQ Слика \* ARABIC </w:instrText>
      </w:r>
      <w:r>
        <w:rPr/>
        <w:fldChar w:fldCharType="separate"/>
      </w:r>
      <w:r>
        <w:rPr/>
        <w:t>23</w:t>
      </w:r>
      <w:r>
        <w:rPr/>
        <w:fldChar w:fldCharType="end"/>
      </w:r>
      <w:bookmarkEnd w:id="153"/>
      <w:r>
        <w:rPr/>
        <w:t>. Најзначајнији предиктори по просечном рангу кроз три методе интерпретације</w:t>
      </w:r>
    </w:p>
    <w:p>
      <w:pPr>
        <w:pStyle w:val="Style5"/>
        <w:numPr>
          <w:ilvl w:val="0"/>
          <w:numId w:val="1"/>
        </w:numPr>
        <w:ind w:hanging="357" w:left="357"/>
        <w:rPr/>
      </w:pPr>
      <w:bookmarkStart w:id="154" w:name="__RefHeading___Toc2403_1317292878"/>
      <w:bookmarkStart w:id="155" w:name="_Toc225785129"/>
      <w:bookmarkEnd w:id="154"/>
      <w:r>
        <w:rPr/>
        <w:t>Анализа правичности и робусности модела</w:t>
      </w:r>
      <w:bookmarkEnd w:id="155"/>
    </w:p>
    <w:p>
      <w:pPr>
        <w:pStyle w:val="Style8"/>
        <w:rPr/>
      </w:pPr>
      <w:r>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pPr>
      <w:bookmarkStart w:id="156" w:name="__RefHeading___Toc2405_1317292878"/>
      <w:bookmarkStart w:id="157" w:name="_Toc225785130"/>
      <w:bookmarkEnd w:id="156"/>
      <w:r>
        <w:rPr/>
        <w:t>Перформансе модела по полу</w:t>
      </w:r>
      <w:bookmarkEnd w:id="157"/>
    </w:p>
    <w:p>
      <w:pPr>
        <w:pStyle w:val="Style8"/>
        <w:rPr/>
      </w:pPr>
      <w:r>
        <w:rPr/>
        <w:t>Метрике евалуације рачунате су одвојено за ученике мушког и женског пола. Тест скуп садржи 64 ученика мушког пола (СТЕМ удео 60,9%, базна стопа 0,609) и 143 ученице (СТЕМ удео 32,9%, базна стопа 0,671) — велика разлика у базном уделу директно одражава родну повезаност уочену χ² тестом (одељак 4.5).</w:t>
      </w:r>
    </w:p>
    <w:p>
      <w:pPr>
        <w:pStyle w:val="Style8"/>
        <w:rPr/>
      </w:pPr>
      <w:r>
        <w:rPr/>
        <w:t>Гола тачност по полу је обмањујућа: женска подгрупа има већу базну стопу (тривијални модел који свима предвиђа НЕ-СТЕМ погодио би 67,1% девојчица наспрам 60,9% дечака), па виша тачност за девојчице не значи нужно да је модел бољи за њих. Зато се тачност пореди са базном стопом сваке подгрупе (тачност изнад базне,</w:t>
      </w:r>
      <w:r>
        <w:rPr/>
        <w:fldChar w:fldCharType="begin"/>
      </w:r>
      <w:r>
        <w:rPr/>
        <w:instrText xml:space="preserve"> REF _RefSl24 \h </w:instrText>
      </w:r>
      <w:r>
        <w:rPr/>
        <w:fldChar w:fldCharType="separate"/>
      </w:r>
      <w:r>
        <w:rPr/>
        <w:t>Слика 24</w:t>
      </w:r>
      <w:r>
        <w:rPr/>
        <w:fldChar w:fldCharType="end"/>
      </w:r>
      <w:r>
        <w:rPr/>
        <w:t>). По том мерилу нема доследне разлике на штету једног пола: SVM, логистичка регресија и XGBoost су изнад базне стопе више за мушку подгрупу (нпр. SVM +0,16 наспрам +0,13), Random Forest нешто више за женску (+0,11 наспрам +0,08), а KNN приближно једнако (+0,05 наспрам +0,04).</w:t>
      </w:r>
    </w:p>
    <w:p>
      <w:pPr>
        <w:pStyle w:val="Style8"/>
        <w:rPr/>
      </w:pPr>
      <w:r>
        <w:rPr/>
        <w:t>Мања мушка подгрупа (64 наспрам 143 ученице) чини процене статистички нестабилнијим. Системску пристрасност детаљније испитујемо у наредном одељку.</w:t>
      </w:r>
    </w:p>
    <w:p>
      <w:pPr>
        <w:pStyle w:val="Normal"/>
        <w:keepNext w:val="true"/>
        <w:jc w:val="center"/>
        <w:rPr/>
      </w:pPr>
      <w:r>
        <w:rPr/>
        <w:drawing>
          <wp:inline distT="0" distB="0" distL="0" distR="0">
            <wp:extent cx="4304665" cy="2061210"/>
            <wp:effectExtent l="0" t="0" r="0" b="0"/>
            <wp:docPr id="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1"/>
                    <pic:cNvPicPr>
                      <a:picLocks noChangeAspect="1" noChangeArrowheads="1"/>
                    </pic:cNvPicPr>
                  </pic:nvPicPr>
                  <pic:blipFill>
                    <a:blip r:embed="rId27"/>
                    <a:stretch>
                      <a:fillRect/>
                    </a:stretch>
                  </pic:blipFill>
                  <pic:spPr bwMode="auto">
                    <a:xfrm>
                      <a:off x="0" y="0"/>
                      <a:ext cx="4304665" cy="2061210"/>
                    </a:xfrm>
                    <a:prstGeom prst="rect">
                      <a:avLst/>
                    </a:prstGeom>
                    <a:noFill/>
                  </pic:spPr>
                </pic:pic>
              </a:graphicData>
            </a:graphic>
          </wp:inline>
        </w:drawing>
      </w:r>
    </w:p>
    <w:p>
      <w:pPr>
        <w:pStyle w:val="Caption"/>
        <w:jc w:val="center"/>
        <w:rPr/>
      </w:pPr>
      <w:bookmarkStart w:id="158" w:name="_RefSl24"/>
      <w:r>
        <w:rPr/>
        <w:t xml:space="preserve">Слика </w:t>
      </w:r>
      <w:r>
        <w:rPr/>
        <w:fldChar w:fldCharType="begin"/>
      </w:r>
      <w:r>
        <w:rPr/>
        <w:instrText xml:space="preserve"> SEQ Слика \* ARABIC </w:instrText>
      </w:r>
      <w:r>
        <w:rPr/>
        <w:fldChar w:fldCharType="separate"/>
      </w:r>
      <w:r>
        <w:rPr/>
        <w:t>24</w:t>
      </w:r>
      <w:r>
        <w:rPr/>
        <w:fldChar w:fldCharType="end"/>
      </w:r>
      <w:bookmarkEnd w:id="158"/>
      <w:r>
        <w:rPr/>
        <w:t>. Метрике евалуације по полу за свих пет модела</w:t>
      </w:r>
    </w:p>
    <w:p>
      <w:pPr>
        <w:pStyle w:val="Style6"/>
        <w:numPr>
          <w:ilvl w:val="1"/>
          <w:numId w:val="1"/>
        </w:numPr>
        <w:ind w:hanging="567" w:left="567"/>
        <w:rPr/>
      </w:pPr>
      <w:bookmarkStart w:id="159" w:name="__RefHeading___Toc2407_1317292878"/>
      <w:bookmarkStart w:id="160" w:name="_Toc225785131"/>
      <w:bookmarkEnd w:id="159"/>
      <w:r>
        <w:rPr/>
        <w:t>Анализа потенцијалног bias-а</w:t>
      </w:r>
      <w:bookmarkEnd w:id="160"/>
    </w:p>
    <w:p>
      <w:pPr>
        <w:pStyle w:val="Style8"/>
        <w:rPr/>
      </w:pPr>
      <w:r>
        <w:rPr/>
        <w:t>Потенцијална пристрасност Random Forest модела анализирана је (</w:t>
      </w:r>
      <w:r>
        <w:rPr/>
        <w:fldChar w:fldCharType="begin"/>
      </w:r>
      <w:r>
        <w:rPr/>
        <w:instrText xml:space="preserve"> REF _RefSl25 \h </w:instrText>
      </w:r>
      <w:r>
        <w:rPr/>
        <w:fldChar w:fldCharType="separate"/>
      </w:r>
      <w:r>
        <w:rPr/>
        <w:t>Слика 25</w:t>
      </w:r>
      <w:r>
        <w:rPr/>
        <w:fldChar w:fldCharType="end"/>
      </w:r>
      <w:r>
        <w:rPr/>
        <w:t>) кроз стопу позитивне предикције (удео предвиђених СТЕМ случајева), FPR (лажно позитивних међу стварно НЕ-СТЕМ) и FNR (лажно негативних међу стварно СТЕМ) — по полу и по месту одрастања.</w:t>
      </w:r>
    </w:p>
    <w:p>
      <w:pPr>
        <w:pStyle w:val="Style8"/>
        <w:rPr/>
      </w:pPr>
      <w:r>
        <w:rPr/>
        <w:t>По полу: модел предвиђа СТЕМ за 51,6% мушких наспрам 25,2% женских ученика — разлика која великим делом одражава стварну разлику у базном СТЕМ уделу (60,9% наспрам 32,9%, одељак 9.1), а не нужно пристрасност модела. FNR је виши код девојчица (44,7% наспрам 33,3%) — модел чешће пропушта стварне СТЕМ случајеве међу девојчицама.</w:t>
      </w:r>
    </w:p>
    <w:p>
      <w:pPr>
        <w:pStyle w:val="Style8"/>
        <w:rPr/>
      </w:pPr>
      <w:r>
        <w:rPr/>
        <w:t>По месту одрастања налаз је упадљивији: стопа позитивне предикције за село износи 11,8%, а FNR 100% — модел није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и није поуздана процена, али је у складу са ниским базним СТЕМ уделом за село (17,6% у тест подскупу, приближно 26,6% у целом узорку) и указује да модел може системски потцењивати СТЕМ афинитет ученика из мањих средина.</w:t>
      </w:r>
    </w:p>
    <w:p>
      <w:pPr>
        <w:pStyle w:val="Style8"/>
        <w:rPr/>
      </w:pPr>
      <w:r>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keepNext w:val="true"/>
        <w:jc w:val="center"/>
        <w:rPr/>
      </w:pPr>
      <w:r>
        <w:rPr/>
        <w:drawing>
          <wp:inline distT="0" distB="0" distL="0" distR="0">
            <wp:extent cx="4999990" cy="2970530"/>
            <wp:effectExtent l="0" t="0" r="0" b="0"/>
            <wp:docPr id="2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2"/>
                    <pic:cNvPicPr>
                      <a:picLocks noChangeAspect="1" noChangeArrowheads="1"/>
                    </pic:cNvPicPr>
                  </pic:nvPicPr>
                  <pic:blipFill>
                    <a:blip r:embed="rId28"/>
                    <a:stretch>
                      <a:fillRect/>
                    </a:stretch>
                  </pic:blipFill>
                  <pic:spPr bwMode="auto">
                    <a:xfrm>
                      <a:off x="0" y="0"/>
                      <a:ext cx="4999990" cy="2970530"/>
                    </a:xfrm>
                    <a:prstGeom prst="rect">
                      <a:avLst/>
                    </a:prstGeom>
                    <a:noFill/>
                  </pic:spPr>
                </pic:pic>
              </a:graphicData>
            </a:graphic>
          </wp:inline>
        </w:drawing>
      </w:r>
    </w:p>
    <w:p>
      <w:pPr>
        <w:pStyle w:val="Caption"/>
        <w:jc w:val="center"/>
        <w:rPr/>
      </w:pPr>
      <w:bookmarkStart w:id="161" w:name="_RefSl25"/>
      <w:r>
        <w:rPr/>
        <w:t xml:space="preserve">Слика </w:t>
      </w:r>
      <w:r>
        <w:rPr/>
        <w:fldChar w:fldCharType="begin"/>
      </w:r>
      <w:r>
        <w:rPr/>
        <w:instrText xml:space="preserve"> SEQ Слика \* ARABIC </w:instrText>
      </w:r>
      <w:r>
        <w:rPr/>
        <w:fldChar w:fldCharType="separate"/>
      </w:r>
      <w:r>
        <w:rPr/>
        <w:t>25</w:t>
      </w:r>
      <w:r>
        <w:rPr/>
        <w:fldChar w:fldCharType="end"/>
      </w:r>
      <w:bookmarkEnd w:id="161"/>
      <w:r>
        <w:rPr/>
        <w:t>. Random Forest — стопа позитивне предикције, FPR и FNR по групама</w:t>
      </w:r>
    </w:p>
    <w:p>
      <w:pPr>
        <w:pStyle w:val="Style6"/>
        <w:numPr>
          <w:ilvl w:val="1"/>
          <w:numId w:val="1"/>
        </w:numPr>
        <w:ind w:hanging="567" w:left="567"/>
        <w:rPr/>
      </w:pPr>
      <w:bookmarkStart w:id="162" w:name="__RefHeading___Toc2409_1317292878"/>
      <w:bookmarkStart w:id="163" w:name="_Toc225785132"/>
      <w:bookmarkEnd w:id="162"/>
      <w:r>
        <w:rPr/>
        <w:t>Анализа робусности (уклањање кључних предиктора)</w:t>
      </w:r>
      <w:bookmarkEnd w:id="163"/>
    </w:p>
    <w:p>
      <w:pPr>
        <w:pStyle w:val="Style8"/>
        <w:rPr/>
      </w:pPr>
      <w:r>
        <w:rPr/>
        <w:t>Колико се модел ослања на појединачна обележја проверено је кроз две поновне обуке Random Forest модела (цео низ корака) на тренинг скупу: (1) без појединачно најзначајнијег предиктора (занимљивост физике, одељак 8.4); (2) без целог блока „фактори одлуке о упису“ (седам питања: породица, вршњаци, наставник, медији, склоност ка групи предмета, проходност на факултет, интересовање за занимање). Та питања се постављају ученику после уписа и траже да ретроспективно образложи баш ту одлуку коју модел предвиђа — делом су квазициркуларна; уклањањем целог блока остају само „претходни“ фактори: оцене, доживљај предмета у основној школи и социодемографске карактеристике.</w:t>
      </w:r>
    </w:p>
    <w:p>
      <w:pPr>
        <w:pStyle w:val="Style8"/>
        <w:rPr/>
      </w:pPr>
      <w:r>
        <w:rPr/>
        <w:t>Уклањање појединачно најзначајнијег предиктора готово да не мења перформансе — Accuracy 0,754 → 0,758, ROC-AUC 0,812 → 0,817. Сигнал није концентрисан у једном обележју: модел преусмерава ослањање на најближе преостале сродне показатеље (занимљивост математике, корисност физике), с којима је уклоњено обележје умерено до снажно корелисано (одељак 4.4).</w:t>
      </w:r>
    </w:p>
    <w:p>
      <w:pPr>
        <w:pStyle w:val="Style8"/>
        <w:rPr/>
      </w:pPr>
      <w:r>
        <w:rPr/>
        <w:t>Уклањање целог блока „фактори одлуке о упису“ (седам колона) даје јаснији пад (</w:t>
      </w:r>
      <w:r>
        <w:rPr/>
        <w:fldChar w:fldCharType="begin"/>
      </w:r>
      <w:r>
        <w:rPr/>
        <w:instrText xml:space="preserve"> REF _RefSl26 \h </w:instrText>
      </w:r>
      <w:r>
        <w:rPr/>
        <w:fldChar w:fldCharType="separate"/>
      </w:r>
      <w:r>
        <w:rPr/>
        <w:t>Слика 26</w:t>
      </w:r>
      <w:r>
        <w:rPr/>
        <w:fldChar w:fldCharType="end"/>
      </w:r>
      <w:r>
        <w:rPr/>
        <w:t>) — Accuracy 0,754 → 0,710, F1 (weighted) 0,748 → 0,706, ROC-AUC 0,812 → 0,756 (око 4–6 процентних поена). Модел се, дакле, делом ослања на тај ретроспективни, делом квазициркуларни блок. Ипак, и без њега — само на основу „претходних“ фактора — модел остаје знатно изнад baseline-а (0,710 наспрам 0,585); предиктивна вредност постоји и у чисто претходним обележјима, а најзначајније међу њима је опет занимљивост физике у основној школи.</w:t>
      </w:r>
    </w:p>
    <w:p>
      <w:pPr>
        <w:pStyle w:val="Normal"/>
        <w:keepNext w:val="true"/>
        <w:jc w:val="center"/>
        <w:rPr/>
      </w:pPr>
      <w:r>
        <w:rPr/>
        <w:drawing>
          <wp:inline distT="0" distB="0" distL="0" distR="0">
            <wp:extent cx="4599940" cy="2559685"/>
            <wp:effectExtent l="0" t="0" r="0" b="0"/>
            <wp:docPr id="2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3"/>
                    <pic:cNvPicPr>
                      <a:picLocks noChangeAspect="1" noChangeArrowheads="1"/>
                    </pic:cNvPicPr>
                  </pic:nvPicPr>
                  <pic:blipFill>
                    <a:blip r:embed="rId29"/>
                    <a:stretch>
                      <a:fillRect/>
                    </a:stretch>
                  </pic:blipFill>
                  <pic:spPr bwMode="auto">
                    <a:xfrm>
                      <a:off x="0" y="0"/>
                      <a:ext cx="4599940" cy="2559685"/>
                    </a:xfrm>
                    <a:prstGeom prst="rect">
                      <a:avLst/>
                    </a:prstGeom>
                    <a:noFill/>
                  </pic:spPr>
                </pic:pic>
              </a:graphicData>
            </a:graphic>
          </wp:inline>
        </w:drawing>
      </w:r>
    </w:p>
    <w:p>
      <w:pPr>
        <w:pStyle w:val="Caption"/>
        <w:jc w:val="center"/>
        <w:rPr/>
      </w:pPr>
      <w:bookmarkStart w:id="164" w:name="_RefSl26"/>
      <w:r>
        <w:rPr/>
        <w:t xml:space="preserve">Слика </w:t>
      </w:r>
      <w:r>
        <w:rPr/>
        <w:fldChar w:fldCharType="begin"/>
      </w:r>
      <w:r>
        <w:rPr/>
        <w:instrText xml:space="preserve"> SEQ Слика \* ARABIC </w:instrText>
      </w:r>
      <w:r>
        <w:rPr/>
        <w:fldChar w:fldCharType="separate"/>
      </w:r>
      <w:r>
        <w:rPr/>
        <w:t>26</w:t>
      </w:r>
      <w:r>
        <w:rPr/>
        <w:fldChar w:fldCharType="end"/>
      </w:r>
      <w:bookmarkEnd w:id="164"/>
      <w:r>
        <w:rPr/>
        <w:t>. Random Forest — робусност на уклањање обележја</w:t>
      </w:r>
    </w:p>
    <w:p>
      <w:pPr>
        <w:pStyle w:val="Style5"/>
        <w:numPr>
          <w:ilvl w:val="0"/>
          <w:numId w:val="1"/>
        </w:numPr>
        <w:ind w:hanging="357" w:left="357"/>
        <w:rPr/>
      </w:pPr>
      <w:bookmarkStart w:id="165" w:name="__RefHeading___Toc2411_1317292878"/>
      <w:bookmarkStart w:id="166" w:name="_Toc225785133"/>
      <w:bookmarkEnd w:id="165"/>
      <w:r>
        <w:rPr/>
        <w:t>Дискусија резултата</w:t>
      </w:r>
      <w:bookmarkEnd w:id="166"/>
    </w:p>
    <w:p>
      <w:pPr>
        <w:pStyle w:val="Style8"/>
        <w:rPr/>
      </w:pPr>
      <w:r>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pPr>
      <w:bookmarkStart w:id="167" w:name="__RefHeading___Toc2413_1317292878"/>
      <w:bookmarkStart w:id="168" w:name="_Toc225785134"/>
      <w:bookmarkEnd w:id="167"/>
      <w:r>
        <w:rPr/>
        <w:t>Одговори на истраживачка питања</w:t>
      </w:r>
      <w:bookmarkEnd w:id="168"/>
    </w:p>
    <w:p>
      <w:pPr>
        <w:pStyle w:val="Style8"/>
        <w:rPr>
          <w:b/>
          <w:bCs/>
        </w:rPr>
      </w:pPr>
      <w:r>
        <w:rPr>
          <w:b/>
          <w:bC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7"/>
        <w:gridCol w:w="5829"/>
      </w:tblGrid>
      <w:tr>
        <w:trPr>
          <w:tblHeader w:val="true"/>
        </w:trPr>
        <w:tc>
          <w:tcPr>
            <w:tcW w:w="3197"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Питање</w:t>
            </w:r>
          </w:p>
        </w:tc>
        <w:tc>
          <w:tcPr>
            <w:tcW w:w="5829"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Кратак одговор</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1 — Који фактори имају значајну повезаност са СТЕМ опредељењем?</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Занимљивост и тежина математике/физике, склоност ка групи предмета, пол ученика</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2 — Да ли је могуће развити модел задовољавајуће тачности?</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Да — сви модели значајно надмашују baseline (нпр. Accuracy 0,787 наспрам 0,585)</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3 — Који модел показује најбоље перформансе?</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По унакрсној валидацији модели су практично неразликиви; на тесту SVM води по тачности/F1, а Random Forest по ROC-AUC, али унутар граница узорачке грешке</w:t>
            </w:r>
          </w:p>
        </w:tc>
      </w:tr>
      <w:tr>
        <w:trPr/>
        <w:tc>
          <w:tcPr>
            <w:tcW w:w="3197"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Питање 4 — Која обележја највише доприносе предиктивној моћи?</w:t>
            </w:r>
          </w:p>
        </w:tc>
        <w:tc>
          <w:tcPr>
            <w:tcW w:w="582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Занимљивост физике (најзначајнија), затим склоност ка групи предмета, занимљивост математике, пол, перципирана тежина математике</w:t>
            </w:r>
          </w:p>
        </w:tc>
      </w:tr>
    </w:tbl>
    <w:p>
      <w:pPr>
        <w:pStyle w:val="Normal"/>
        <w:rPr/>
      </w:pPr>
      <w:r>
        <w:rPr/>
      </w:r>
    </w:p>
    <w:p>
      <w:pPr>
        <w:pStyle w:val="Style8"/>
        <w:rPr>
          <w:b/>
          <w:bCs/>
        </w:rPr>
      </w:pPr>
      <w:r>
        <w:rPr>
          <w:b/>
          <w:bC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6"/>
        <w:gridCol w:w="1399"/>
        <w:gridCol w:w="4931"/>
      </w:tblGrid>
      <w:tr>
        <w:trPr>
          <w:tblHeader w:val="true"/>
        </w:trPr>
        <w:tc>
          <w:tcPr>
            <w:tcW w:w="2696"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Хипотеза</w:t>
            </w:r>
          </w:p>
        </w:tc>
        <w:tc>
          <w:tcPr>
            <w:tcW w:w="1399"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Статус</w:t>
            </w:r>
          </w:p>
        </w:tc>
        <w:tc>
          <w:tcPr>
            <w:tcW w:w="4931" w:type="dxa"/>
            <w:tcBorders/>
            <w:shd w:color="auto" w:fill="D9D9D9" w:val="clear"/>
          </w:tcPr>
          <w:p>
            <w:pPr>
              <w:pStyle w:val="Style8"/>
              <w:widowControl/>
              <w:suppressAutoHyphens w:val="true"/>
              <w:spacing w:before="120" w:after="0"/>
              <w:ind w:hanging="0"/>
              <w:rPr>
                <w:b/>
                <w:bCs/>
              </w:rPr>
            </w:pPr>
            <w:r>
              <w:rPr>
                <w:rFonts w:eastAsia="MS Mincho" w:cs="Times New Roman"/>
                <w:b/>
                <w:bCs/>
                <w:kern w:val="0"/>
                <w:lang w:val="en-US" w:eastAsia="en-US" w:bidi="en-US"/>
              </w:rPr>
              <w:t>Кратко образложење</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Х1 — Позитиван став према математици/природним наукама повезан са СТЕМ</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Занимљивост физике/математике међу најутицајнијим позитивним предикторима</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Х2 — Перципирана тежина математике и природних наука повезана је са вероватноћом опредељења ка СТЕМ смеру.</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Перципирана тежина математике/физике значајан је предиктор (odds ratio ≈0,75) — виша пријављена тежина повезана је са мањим изгледима за СТЕМ</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Х3 — Ансамбл модели остварују боље перформансе од линеарних</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Није 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По унакрсној валидацији највишу F1 меру има управо линеарни модел (логистичка регресија); на тесту су ансамбли благо испред, али унутар граница узорачке грешке — нема поузданог доказа да ансамбли надмашују линеарни модел</w:t>
            </w:r>
          </w:p>
        </w:tc>
      </w:tr>
      <w:tr>
        <w:trPr/>
        <w:tc>
          <w:tcPr>
            <w:tcW w:w="2696"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Х4 — Комбинација обележја омогућава поузданију класификацију</w:t>
            </w:r>
          </w:p>
        </w:tc>
        <w:tc>
          <w:tcPr>
            <w:tcW w:w="1399"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rFonts w:eastAsia="MS Mincho" w:cs="Times New Roman"/>
                <w:kern w:val="0"/>
                <w:lang w:val="en-US" w:eastAsia="en-US" w:bidi="en-US"/>
              </w:rPr>
              <w:t>Потврђена</w:t>
            </w:r>
          </w:p>
        </w:tc>
        <w:tc>
          <w:tcPr>
            <w:tcW w:w="4931" w:type="dxa"/>
            <w:tcBorders/>
          </w:tcPr>
          <w:p>
            <w:pPr>
              <w:pStyle w:val="Style8"/>
              <w:widowControl/>
              <w:suppressAutoHyphens w:val="true"/>
              <w:spacing w:before="120" w:after="0"/>
              <w:ind w:hanging="0"/>
              <w:rPr>
                <w:rFonts w:ascii="Calibri" w:hAnsi="Calibri" w:eastAsia="ＭＳ 明朝" w:cs="Times New Roman"/>
                <w:kern w:val="0"/>
                <w:lang w:val="en-US" w:eastAsia="en-US" w:bidi="en-US"/>
              </w:rPr>
            </w:pPr>
            <w:r>
              <w:rPr/>
              <w:t>Уклањање најзначајнијег предиктора готово не мења перформансе; сигнал је расподељен кроз више обележја</w:t>
            </w:r>
          </w:p>
        </w:tc>
      </w:tr>
    </w:tbl>
    <w:p>
      <w:pPr>
        <w:pStyle w:val="Normal"/>
        <w:rPr/>
      </w:pPr>
      <w:r>
        <w:rPr/>
      </w:r>
    </w:p>
    <w:p>
      <w:pPr>
        <w:pStyle w:val="Style6"/>
        <w:numPr>
          <w:ilvl w:val="1"/>
          <w:numId w:val="1"/>
        </w:numPr>
        <w:ind w:hanging="567" w:left="567"/>
        <w:rPr/>
      </w:pPr>
      <w:bookmarkStart w:id="169" w:name="__RefHeading___Toc2415_1317292878"/>
      <w:bookmarkStart w:id="170" w:name="_Toc225785135"/>
      <w:bookmarkEnd w:id="169"/>
      <w:r>
        <w:rPr/>
        <w:t>Главни допринос рада</w:t>
      </w:r>
      <w:bookmarkEnd w:id="170"/>
    </w:p>
    <w:p>
      <w:pPr>
        <w:pStyle w:val="Style8"/>
        <w:rPr/>
      </w:pPr>
      <w:r>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ригорозну методологију евалуације (Stratified K-Fold, nested cross-validation, поглавље 6), и у томе што су налази о најзначајнијим предикторима потврђени кроз три независне методе интерпретације (поглавље 8), што знатно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pPr>
      <w:bookmarkStart w:id="171" w:name="__RefHeading___Toc2417_1317292878"/>
      <w:bookmarkStart w:id="172" w:name="_Toc225785136"/>
      <w:bookmarkEnd w:id="171"/>
      <w:r>
        <w:rPr/>
        <w:t>Практичне импликације</w:t>
      </w:r>
      <w:bookmarkEnd w:id="172"/>
    </w:p>
    <w:p>
      <w:pPr>
        <w:pStyle w:val="Style8"/>
        <w:rPr/>
      </w:pPr>
      <w:r>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pPr>
      <w:r>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pPr>
      <w:bookmarkStart w:id="173" w:name="__RefHeading___Toc2419_1317292878"/>
      <w:bookmarkStart w:id="174" w:name="_Toc225785137"/>
      <w:bookmarkEnd w:id="173"/>
      <w:r>
        <w:rPr/>
        <w:t>Ограничења истраживања</w:t>
      </w:r>
      <w:bookmarkEnd w:id="174"/>
    </w:p>
    <w:p>
      <w:pPr>
        <w:pStyle w:val="Style8"/>
        <w:rPr/>
      </w:pPr>
      <w:r>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изражено опредељење, а не потврђен исход.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pPr>
      <w:bookmarkStart w:id="175" w:name="__RefHeading___Toc2421_1317292878"/>
      <w:bookmarkStart w:id="176" w:name="_Toc225785138"/>
      <w:bookmarkEnd w:id="175"/>
      <w:r>
        <w:rPr/>
        <w:t>Правци будућих истраживања</w:t>
      </w:r>
      <w:bookmarkEnd w:id="176"/>
    </w:p>
    <w:p>
      <w:pPr>
        <w:pStyle w:val="Style8"/>
        <w:rPr/>
      </w:pPr>
      <w:r>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 од изражене намере до стварног уписа и завршетка СТЕМ студија — омогућило би проверу да ли модел заснован на изнетом опредељењу заиста предвиђа стваран исход.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pPr>
      <w:r>
        <w:rPr/>
      </w:r>
      <w:r>
        <w:br w:type="page"/>
      </w:r>
    </w:p>
    <w:p>
      <w:pPr>
        <w:pStyle w:val="Style5"/>
        <w:numPr>
          <w:ilvl w:val="0"/>
          <w:numId w:val="1"/>
        </w:numPr>
        <w:spacing w:before="0" w:after="840"/>
        <w:ind w:hanging="357" w:left="357"/>
        <w:rPr/>
      </w:pPr>
      <w:bookmarkStart w:id="177" w:name="__RefHeading___Toc2423_1317292878"/>
      <w:bookmarkStart w:id="178" w:name="_Toc225785139"/>
      <w:bookmarkEnd w:id="177"/>
      <w:r>
        <w:rPr/>
        <w:t>Закључак</w:t>
      </w:r>
      <w:bookmarkEnd w:id="178"/>
    </w:p>
    <w:p>
      <w:pPr>
        <w:pStyle w:val="Style8"/>
        <w:rPr/>
      </w:pPr>
      <w:r>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pPr>
      <w:r>
        <w:rPr/>
        <w:t>Пет истренираних модела показало се практично неразликивим по унакрсној валидацији; на независном тест скупу SVM води по тачности, а Random Forest по ROC-AUC, али су разлике међу бољим моделима унутар граница узорачке грешке. Сви модели значајно надмашују референтни модел, чиме је потврђено да се СТЕМ опредељење може предвидети са задовољавајућом тачношћу на основу лако доступних анкетних података. Анализа робусности показала је да уклањање појединачно најзначајнијег предиктора готово не мења перформансе, док уклањање целог блока ретроспективних питања о разлозима уписа доноси умерен пад — предиктивни сигнал је расподељен, али се делом ослања на факторе које ученици наводе тек после доношења одлуке. Анализа правичности показала је да, када се тачност пореди са базном стопом сваке подгрупе, нема доследне разлике у квалитету предикције по полу, док су налази за ученике из руралних средина ограничени малим узорком — што указује на потребу за опрезном применом оваквих модела, пре свега као алата за препознавање образаца на нивоу популације, а не као једином основом за одлуке о појединачним ученицима.</w:t>
      </w:r>
    </w:p>
    <w:p>
      <w:pPr>
        <w:pStyle w:val="Style8"/>
        <w:rPr/>
      </w:pPr>
      <w:r>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pPr>
      <w:bookmarkStart w:id="179" w:name="__RefHeading___Toc2425_1317292878"/>
      <w:bookmarkStart w:id="180" w:name="_Toc225785140"/>
      <w:bookmarkEnd w:id="179"/>
      <w:r>
        <w:rPr/>
        <w:t>Литература</w:t>
      </w:r>
      <w:bookmarkEnd w:id="180"/>
    </w:p>
    <w:p>
      <w:pPr>
        <w:pStyle w:val="Reference"/>
        <w:numPr>
          <w:ilvl w:val="0"/>
          <w:numId w:val="2"/>
        </w:numPr>
        <w:ind w:firstLine="567" w:left="360"/>
        <w:rPr/>
      </w:pPr>
      <w:r>
        <w:rPr/>
        <w:t>Stašević, F., Milenković, A., Maksimović, A., Svičević, M., &amp; Krstić, L. (2025). Interest in STEM and its relations to the educational achievement and socio-demographic characteristics of grammar school students in Serbia. Journal of Baltic Science Education, 24(2), 360–376. https://doi.org/10.33225/jbse/25.24.360</w:t>
      </w:r>
    </w:p>
    <w:p>
      <w:pPr>
        <w:pStyle w:val="Reference"/>
        <w:numPr>
          <w:ilvl w:val="0"/>
          <w:numId w:val="2"/>
        </w:numPr>
        <w:ind w:firstLine="567" w:left="360"/>
        <w:rPr/>
      </w:pPr>
      <w:r>
        <w:rPr/>
        <w:t xml:space="preserve">Скуп података „STEM“ (STEM.xlsx) — анкетни подаци ученика гимназија прикупљени за потребе овог истраживања, доступни уз изворни код рада. </w:t>
      </w:r>
      <w:r>
        <w:rPr>
          <w:highlight w:val="yellow"/>
        </w:rPr>
        <w:t>Доступно на: https://github.com/tdjokovic/stem_factors</w:t>
      </w:r>
    </w:p>
    <w:p>
      <w:pPr>
        <w:pStyle w:val="Reference"/>
        <w:numPr>
          <w:ilvl w:val="0"/>
          <w:numId w:val="2"/>
        </w:numPr>
        <w:ind w:firstLine="567" w:left="360"/>
        <w:rPr/>
      </w:pPr>
      <w:r>
        <w:rPr/>
        <w:t>Документација библиотеке pandas (верзија 2.3.3). Доступно на: https://pandas.pydata.org/docs/</w:t>
      </w:r>
    </w:p>
    <w:p>
      <w:pPr>
        <w:pStyle w:val="Reference"/>
        <w:numPr>
          <w:ilvl w:val="0"/>
          <w:numId w:val="2"/>
        </w:numPr>
        <w:ind w:firstLine="567" w:left="360"/>
        <w:rPr/>
      </w:pPr>
      <w:r>
        <w:rPr/>
        <w:t>Документација библиотеке NumPy (верзија 2.3.5). Доступно на: https://numpy.org/doc/stable/</w:t>
      </w:r>
    </w:p>
    <w:p>
      <w:pPr>
        <w:pStyle w:val="Reference"/>
        <w:numPr>
          <w:ilvl w:val="0"/>
          <w:numId w:val="2"/>
        </w:numPr>
        <w:ind w:firstLine="567" w:left="360"/>
        <w:rPr/>
      </w:pPr>
      <w:r>
        <w:rPr/>
        <w:t>Документација библиотеке SciPy (верзија 1.16.3). Доступно на: https://docs.scipy.org/doc/scipy/</w:t>
      </w:r>
    </w:p>
    <w:p>
      <w:pPr>
        <w:pStyle w:val="Reference"/>
        <w:numPr>
          <w:ilvl w:val="0"/>
          <w:numId w:val="2"/>
        </w:numPr>
        <w:ind w:firstLine="567" w:left="360"/>
        <w:rPr/>
      </w:pPr>
      <w:r>
        <w:rPr/>
        <w:t>Документација библиотеке Matplotlib (верзија 3.10.8). Доступно на: https://matplotlib.org/stable/</w:t>
      </w:r>
    </w:p>
    <w:p>
      <w:pPr>
        <w:pStyle w:val="Reference"/>
        <w:numPr>
          <w:ilvl w:val="0"/>
          <w:numId w:val="2"/>
        </w:numPr>
        <w:ind w:firstLine="567" w:left="360"/>
        <w:rPr/>
      </w:pPr>
      <w:r>
        <w:rPr/>
        <w:t>Документација библиотеке seaborn (верзија 0.13.2). Доступно на: https://seaborn.pydata.org/</w:t>
      </w:r>
    </w:p>
    <w:p>
      <w:pPr>
        <w:pStyle w:val="Reference"/>
        <w:numPr>
          <w:ilvl w:val="0"/>
          <w:numId w:val="2"/>
        </w:numPr>
        <w:ind w:firstLine="567" w:left="360"/>
        <w:rPr/>
      </w:pPr>
      <w:r>
        <w:rPr/>
        <w:t>Документација библиотеке scikit-learn (верзија 1.8.0). Доступно на: https://scikit-learn.org/stable/</w:t>
      </w:r>
    </w:p>
    <w:p>
      <w:pPr>
        <w:pStyle w:val="Reference"/>
        <w:numPr>
          <w:ilvl w:val="0"/>
          <w:numId w:val="2"/>
        </w:numPr>
        <w:ind w:firstLine="567" w:left="360"/>
        <w:rPr/>
      </w:pPr>
      <w:r>
        <w:rPr/>
        <w:t>Документација библиотеке XGBoost (верзија 3.1.3). Доступно на: https://xgboost.readthedocs.io/en/stable/</w:t>
      </w:r>
    </w:p>
    <w:p>
      <w:pPr>
        <w:pStyle w:val="Reference"/>
        <w:numPr>
          <w:ilvl w:val="0"/>
          <w:numId w:val="2"/>
        </w:numPr>
        <w:ind w:firstLine="567" w:left="360"/>
        <w:rPr/>
      </w:pPr>
      <w:r>
        <w:rPr/>
        <w:t>Документација библиотеке SHAP (верзија 0.52.0). Доступно на: https://shap.readthedocs.io/en/latest/</w:t>
      </w:r>
    </w:p>
    <w:p>
      <w:pPr>
        <w:pStyle w:val="Reference"/>
        <w:numPr>
          <w:ilvl w:val="0"/>
          <w:numId w:val="2"/>
        </w:numPr>
        <w:ind w:firstLine="567" w:left="360"/>
        <w:rPr/>
      </w:pPr>
      <w:r>
        <w:rPr>
          <w:highlight w:val="yellow"/>
        </w:rPr>
        <w:t>Документација програмског језика Python (верзија 3.14.2). Доступно на: https://docs.python.org/3/</w:t>
      </w:r>
    </w:p>
    <w:p>
      <w:pPr>
        <w:pStyle w:val="Style9"/>
        <w:ind w:hanging="357" w:left="357"/>
        <w:rPr/>
      </w:pPr>
      <w:bookmarkStart w:id="181" w:name="__RefHeading___Toc2427_1317292878"/>
      <w:bookmarkStart w:id="182" w:name="_Toc225785141"/>
      <w:bookmarkEnd w:id="181"/>
      <w:r>
        <w:rPr/>
        <w:t>Кратка биографија кандидата</w:t>
      </w:r>
      <w:bookmarkEnd w:id="182"/>
    </w:p>
    <w:p>
      <w:pPr>
        <w:pStyle w:val="Style8"/>
        <w:rPr/>
      </w:pPr>
      <w:r>
        <w:rPr/>
        <w:t>Тијана Ђоковић рођена је 13. јуна 2000. године у Крагујевцу.</w:t>
      </w:r>
    </w:p>
    <w:p>
      <w:pPr>
        <w:pStyle w:val="Style8"/>
        <w:rPr/>
      </w:pPr>
      <w:r>
        <w:rPr/>
        <w:t>Завршила је Основну школу „Мома Станојловић“ и Основну музичку школу „Др Милоје Милојевић“ у Крагујевцу. Прву крагујевачку гимназију, друштвено-језички смер, завршила је 2019. године. И основну и средњу школу завршила је као носилац Вукове дипломе.</w:t>
      </w:r>
    </w:p>
    <w:p>
      <w:pPr>
        <w:pStyle w:val="Style8"/>
        <w:rPr/>
      </w:pPr>
      <w:r>
        <w:rPr/>
        <w:t>Основне академске студије информатике на Природно-математичком факултету Универзитета у Крагујевцу, студијски модул Софтверско инжењерство, уписала је 2019. године.</w:t>
      </w:r>
    </w:p>
    <w:p>
      <w:pPr>
        <w:pStyle w:val="Normal"/>
        <w:spacing w:lineRule="auto" w:line="276" w:before="0" w:after="200"/>
        <w:rPr>
          <w:rFonts w:cs="Calibri"/>
          <w:sz w:val="28"/>
          <w:szCs w:val="28"/>
        </w:rPr>
      </w:pPr>
      <w:r>
        <w:rPr>
          <w:rFonts w:cs="Calibri"/>
          <w:sz w:val="28"/>
          <w:szCs w:val="28"/>
        </w:rPr>
      </w:r>
      <w:r>
        <w:br w:type="page"/>
      </w:r>
    </w:p>
    <w:p>
      <w:pPr>
        <w:pStyle w:val="Normal"/>
        <w:spacing w:before="0" w:after="0"/>
        <w:jc w:val="both"/>
        <w:rPr>
          <w:rFonts w:cs="Calibri"/>
          <w:sz w:val="28"/>
          <w:szCs w:val="28"/>
        </w:rPr>
      </w:pPr>
      <w:r>
        <w:rPr>
          <w:rFonts w:cs="Calibri"/>
          <w:sz w:val="28"/>
          <w:szCs w:val="28"/>
        </w:rPr>
        <w:t>Универзитет у Крагујевцу</w:t>
      </w:r>
    </w:p>
    <w:p>
      <w:pPr>
        <w:pStyle w:val="Normal"/>
        <w:jc w:val="both"/>
        <w:rPr>
          <w:rFonts w:cs="Calibri"/>
          <w:sz w:val="28"/>
          <w:szCs w:val="28"/>
        </w:rPr>
      </w:pPr>
      <w:r>
        <w:rPr>
          <w:rFonts w:cs="Calibri"/>
          <w:sz w:val="28"/>
          <w:szCs w:val="28"/>
        </w:rPr>
        <w:t>Природно-математички факултет</w:t>
      </w:r>
    </w:p>
    <w:p>
      <w:pPr>
        <w:pStyle w:val="Normal"/>
        <w:jc w:val="both"/>
        <w:rPr>
          <w:rFonts w:cs="Calibri"/>
          <w:sz w:val="28"/>
          <w:szCs w:val="28"/>
        </w:rPr>
      </w:pPr>
      <w:r>
        <w:rPr>
          <w:rFonts w:cs="Calibri"/>
          <w:sz w:val="28"/>
          <w:szCs w:val="28"/>
        </w:rPr>
        <w:t>Институт за математику и информатику</w:t>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rPr>
      </w:pPr>
      <w:r>
        <w:rPr>
          <w:rFonts w:cs="Calibri"/>
        </w:rPr>
        <w:t xml:space="preserve">Завршни рад под називом </w:t>
      </w:r>
    </w:p>
    <w:p>
      <w:pPr>
        <w:pStyle w:val="Normal"/>
        <w:jc w:val="both"/>
        <w:rPr>
          <w:rFonts w:cs="Calibri"/>
        </w:rPr>
      </w:pPr>
      <w:r>
        <w:rPr>
          <w:rFonts w:cs="Calibri"/>
        </w:rPr>
      </w:r>
    </w:p>
    <w:p>
      <w:pPr>
        <w:pStyle w:val="Normal"/>
        <w:jc w:val="both"/>
        <w:rPr>
          <w:rFonts w:cs="Calibri"/>
        </w:rPr>
      </w:pPr>
      <w:r>
        <w:rPr>
          <w:rFonts w:cs="Calibri"/>
          <w:color w:val="FF0000"/>
        </w:rPr>
        <w:t>Анализа фактора који утичу на опредељење ученика за СТЕМ применом метода машинског учења</w:t>
      </w:r>
    </w:p>
    <w:p>
      <w:pPr>
        <w:pStyle w:val="Normal"/>
        <w:jc w:val="both"/>
        <w:rPr>
          <w:rFonts w:cs="Calibri"/>
        </w:rPr>
      </w:pPr>
      <w:r>
        <w:rPr>
          <w:rFonts w:cs="Calibri"/>
        </w:rPr>
      </w:r>
    </w:p>
    <w:p>
      <w:pPr>
        <w:pStyle w:val="Normal"/>
        <w:jc w:val="both"/>
        <w:rPr>
          <w:rFonts w:cs="Calibri"/>
        </w:rPr>
      </w:pPr>
      <w:r>
        <w:rPr>
          <w:rFonts w:cs="Calibri"/>
        </w:rPr>
        <w:t xml:space="preserve">одбрањен је ____________. </w:t>
      </w:r>
    </w:p>
    <w:p>
      <w:pPr>
        <w:pStyle w:val="Normal"/>
        <w:rPr/>
      </w:pPr>
      <w:r>
        <w:rPr/>
      </w:r>
    </w:p>
    <w:p>
      <w:pPr>
        <w:pStyle w:val="Normal"/>
        <w:rPr/>
      </w:pPr>
      <w:r>
        <w:rPr/>
      </w:r>
    </w:p>
    <w:p>
      <w:pPr>
        <w:pStyle w:val="Normal"/>
        <w:rPr/>
      </w:pPr>
      <w:r>
        <w:rPr/>
        <w:t>МЕНТОР:</w:t>
      </w:r>
    </w:p>
    <w:p>
      <w:pPr>
        <w:pStyle w:val="Normal"/>
        <w:rPr/>
      </w:pPr>
      <w:r>
        <w:rPr/>
      </w:r>
    </w:p>
    <w:p>
      <w:pPr>
        <w:pStyle w:val="Normal"/>
        <w:rPr/>
      </w:pPr>
      <w:r>
        <w:rPr>
          <w:rFonts w:cs="Calibri"/>
        </w:rPr>
        <w:t>_____________________________</w:t>
      </w:r>
    </w:p>
    <w:p>
      <w:pPr>
        <w:pStyle w:val="Normal"/>
        <w:rPr/>
      </w:pPr>
      <w:r>
        <w:rPr/>
        <w:t>др Име Презиме, звање, Институција</w:t>
      </w:r>
    </w:p>
    <w:p>
      <w:pPr>
        <w:pStyle w:val="Normal"/>
        <w:rPr/>
      </w:pPr>
      <w:r>
        <w:rPr/>
      </w:r>
    </w:p>
    <w:p>
      <w:pPr>
        <w:pStyle w:val="Normal"/>
        <w:ind w:left="4536"/>
        <w:rPr/>
      </w:pPr>
      <w:r>
        <w:rPr/>
        <w:t>ЧЛАНОВИ КОМИСИЈЕ:</w:t>
      </w:r>
    </w:p>
    <w:p>
      <w:pPr>
        <w:pStyle w:val="Normal"/>
        <w:ind w:left="4536"/>
        <w:rPr/>
      </w:pPr>
      <w:r>
        <w:rPr/>
      </w:r>
    </w:p>
    <w:p>
      <w:pPr>
        <w:pStyle w:val="Normal"/>
        <w:ind w:left="4536"/>
        <w:rPr/>
      </w:pPr>
      <w:r>
        <w:rPr>
          <w:rFonts w:cs="Calibri"/>
        </w:rPr>
        <w:t>________________________________________</w:t>
      </w:r>
    </w:p>
    <w:p>
      <w:pPr>
        <w:pStyle w:val="Normal"/>
        <w:ind w:left="4536"/>
        <w:rPr/>
      </w:pPr>
      <w:r>
        <w:rPr/>
        <w:t xml:space="preserve">др Име Презиме, звање, ПМФ Крагујевац </w:t>
      </w:r>
    </w:p>
    <w:p>
      <w:pPr>
        <w:pStyle w:val="Normal"/>
        <w:ind w:left="4536"/>
        <w:rPr/>
      </w:pPr>
      <w:r>
        <w:rPr/>
      </w:r>
    </w:p>
    <w:p>
      <w:pPr>
        <w:pStyle w:val="Normal"/>
        <w:ind w:left="4536"/>
        <w:rPr/>
      </w:pPr>
      <w:r>
        <w:rPr>
          <w:rFonts w:cs="Calibri"/>
        </w:rPr>
        <w:t>________________________________________</w:t>
      </w:r>
    </w:p>
    <w:p>
      <w:pPr>
        <w:pStyle w:val="Normal"/>
        <w:ind w:left="4536"/>
        <w:rPr/>
      </w:pPr>
      <w:r>
        <w:rPr/>
        <w:t>др Име Презиме, звање, Институција</w:t>
      </w:r>
    </w:p>
    <w:p>
      <w:pPr>
        <w:pStyle w:val="Normal"/>
        <w:rPr/>
      </w:pPr>
      <w:r>
        <w:rPr/>
      </w:r>
    </w:p>
    <w:p>
      <w:pPr>
        <w:pStyle w:val="Normal"/>
        <w:rPr/>
      </w:pPr>
      <w:r>
        <w:rPr/>
      </w:r>
    </w:p>
    <w:p>
      <w:pPr>
        <w:pStyle w:val="Normal"/>
        <w:rPr/>
      </w:pPr>
      <w:r>
        <w:rPr/>
        <w:t xml:space="preserve">Завршни рад је оцењен оценом </w:t>
      </w:r>
      <w:r>
        <w:rPr>
          <w:rFonts w:cs="Calibri"/>
        </w:rPr>
        <w:t>____________.</w:t>
      </w:r>
    </w:p>
    <w:p>
      <w:pPr>
        <w:pStyle w:val="Style8"/>
        <w:rPr/>
      </w:pPr>
      <w:r>
        <w:rPr/>
      </w:r>
    </w:p>
    <w:sectPr>
      <w:footerReference w:type="even" r:id="rId30"/>
      <w:footerReference w:type="default" r:id="rId31"/>
      <w:footerReference w:type="first" r:id="rId32"/>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suppressAutoHyphens w:val="tru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customStyle="1">
    <w:name w:val="Index Link"/>
    <w:rPr/>
  </w:style>
  <w:style w:type="character" w:styleId="CommentReference">
    <w:name w:val="annotation reference"/>
    <w:basedOn w:val="DefaultParagraphFont"/>
    <w:uiPriority w:val="99"/>
    <w:semiHidden/>
    <w:unhideWhenUsed/>
    <w:rsid w:val="006076d7"/>
    <w:rPr>
      <w:sz w:val="16"/>
      <w:szCs w:val="16"/>
    </w:rPr>
  </w:style>
  <w:style w:type="character" w:styleId="CommentTextChar" w:customStyle="1">
    <w:name w:val="Comment Text Char"/>
    <w:basedOn w:val="DefaultParagraphFont"/>
    <w:link w:val="CommentText"/>
    <w:uiPriority w:val="99"/>
    <w:rsid w:val="006076d7"/>
    <w:rPr>
      <w:sz w:val="20"/>
      <w:szCs w:val="20"/>
    </w:rPr>
  </w:style>
  <w:style w:type="character" w:styleId="CommentSubjectChar" w:customStyle="1">
    <w:name w:val="Comment Subject Char"/>
    <w:basedOn w:val="CommentTextChar"/>
    <w:link w:val="annotationsubject"/>
    <w:uiPriority w:val="99"/>
    <w:semiHidden/>
    <w:rsid w:val="006076d7"/>
    <w:rPr>
      <w:b/>
      <w:bCs/>
      <w:sz w:val="20"/>
      <w:szCs w:val="20"/>
    </w:rPr>
  </w:style>
  <w:style w:type="character" w:styleId="LineNumber">
    <w:name w:val="line number"/>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customStyle="1">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paragraph" w:styleId="Revision">
    <w:name w:val="Revision"/>
    <w:uiPriority w:val="99"/>
    <w:semiHidden/>
    <w:rsid w:val="006076d7"/>
    <w:pPr>
      <w:widowControl/>
      <w:suppressAutoHyphens w:val="fals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CommentText">
    <w:name w:val="annotation text"/>
    <w:basedOn w:val="Normal"/>
    <w:link w:val="CommentTextChar"/>
    <w:uiPriority w:val="99"/>
    <w:unhideWhenUsed/>
    <w:rsid w:val="006076d7"/>
    <w:pPr/>
    <w:rPr>
      <w:sz w:val="20"/>
      <w:szCs w:val="20"/>
    </w:rPr>
  </w:style>
  <w:style w:type="paragraph" w:styleId="annotationsubject">
    <w:name w:val="annotation subject"/>
    <w:basedOn w:val="CommentText"/>
    <w:next w:val="CommentText"/>
    <w:link w:val="CommentSubjectChar"/>
    <w:uiPriority w:val="99"/>
    <w:semiHidden/>
    <w:unhideWhenUsed/>
    <w:rsid w:val="006076d7"/>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4535</TotalTime>
  <Application>LibreOffice/26.8.0.3$Windows_X86_64 LibreOffice_project/bce0998afefdbc355585ca324285661a2170ba77</Application>
  <AppVersion>15.0000</AppVersion>
  <Pages>55</Pages>
  <Words>12267</Words>
  <Characters>75527</Characters>
  <CharactersWithSpaces>87229</CharactersWithSpaces>
  <Paragraphs>541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Тијана Ђоковић</dc:creator>
  <dc:description/>
  <dc:language>en-US</dc:language>
  <cp:lastModifiedBy/>
  <dcterms:modified xsi:type="dcterms:W3CDTF">2026-09-08T22:05:05Z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