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ведения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Калинин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ведения боевых действий в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31</w:t>
      </w:r>
    </w:p>
    <w:p>
      <w:pPr>
        <w:pStyle w:val="BodyText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. 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33 700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22 400 человек. 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непрерывные функции.</w:t>
      </w:r>
    </w:p>
    <w:p>
      <w:pPr>
        <w:pStyle w:val="BodyText"/>
      </w:pP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1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0.44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0.78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t</m:t>
              </m:r>
            </m:e>
          </m:d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0.56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0.66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t</m:t>
              </m:r>
            </m:e>
          </m:d>
          <m:r>
            <m:rPr>
              <m:sty m:val="p"/>
            </m:rPr>
            <m:t>+</m:t>
          </m:r>
          <m:r>
            <m:t>1</m:t>
          </m:r>
        </m:oMath>
      </m:oMathPara>
    </w:p>
    <w:p>
      <w:pPr>
        <w:numPr>
          <w:ilvl w:val="0"/>
          <w:numId w:val="1001"/>
        </w:numPr>
        <w:pStyle w:val="Compact"/>
      </w:pPr>
      <w:r>
        <w:t xml:space="preserve">Модель ведения боевых действий с участием регулярных войск и партизанских отрядов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0.37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0.79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t</m:t>
              </m:r>
            </m:e>
          </m:d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0.27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0.78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t</m:t>
              </m:r>
            </m:e>
          </m:d>
          <m:r>
            <m:rPr>
              <m:sty m:val="p"/>
            </m:rPr>
            <m:t>+</m:t>
          </m:r>
          <m:r>
            <m:t>1</m:t>
          </m:r>
        </m:oMath>
      </m:oMathPara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  <w:r>
        <w:t xml:space="preserve"> </w:t>
      </w:r>
      <w:r>
        <w:t xml:space="preserve">Рассмотри три случая ведения боевых действий:</w:t>
      </w:r>
    </w:p>
    <w:p>
      <w:pPr>
        <w:numPr>
          <w:ilvl w:val="0"/>
          <w:numId w:val="1002"/>
        </w:numPr>
      </w:pPr>
      <w:r>
        <w:t xml:space="preserve">Боевые действия между регулярными войсками</w:t>
      </w:r>
    </w:p>
    <w:p>
      <w:pPr>
        <w:numPr>
          <w:ilvl w:val="0"/>
          <w:numId w:val="1002"/>
        </w:numPr>
      </w:pPr>
      <w:r>
        <w:t xml:space="preserve">Боевые действия с участием регулярных войск и партизанских отрядов</w:t>
      </w:r>
    </w:p>
    <w:p>
      <w:pPr>
        <w:numPr>
          <w:ilvl w:val="0"/>
          <w:numId w:val="1002"/>
        </w:numPr>
      </w:pPr>
      <w:r>
        <w:t xml:space="preserve">Боевые действия между партизанскими отрядами.</w:t>
      </w:r>
    </w:p>
    <w:p>
      <w:pPr>
        <w:pStyle w:val="FirstParagraph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3"/>
        </w:numPr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3"/>
        </w:numPr>
      </w:pPr>
      <w:r>
        <w:t xml:space="preserve">скорость потерь, обусловленных боевыми действиями</w:t>
      </w:r>
      <w:r>
        <w:t xml:space="preserve"> </w:t>
      </w:r>
      <w:r>
        <w:t xml:space="preserve">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3"/>
        </w:numPr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члены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</w:t>
      </w:r>
      <w:r>
        <w:t xml:space="preserve"> </w:t>
      </w:r>
      <w:r>
        <w:t xml:space="preserve">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В этой системе все величины имеют тот же смысл.</w:t>
      </w:r>
      <w:r>
        <w:t xml:space="preserve"> </w:t>
      </w:r>
      <w:r>
        <w:t xml:space="preserve">Модель ведения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Напишем программу в OpenModelica, которая будет моделировать поставленную задачу (</w:t>
      </w:r>
      <w:hyperlink w:anchor="fig:001">
        <w:r>
          <w:rPr>
            <w:rStyle w:val="Hyperlink"/>
          </w:rPr>
          <w:t xml:space="preserve">Рис. 1</w:t>
        </w:r>
      </w:hyperlink>
      <w:r>
        <w:t xml:space="preserve">). Программа моделирует сразу две ситуации.</w:t>
      </w:r>
    </w:p>
    <w:p>
      <w:pPr>
        <w:pStyle w:val="CaptionedFigure"/>
      </w:pPr>
      <w:bookmarkStart w:id="26" w:name="fig:001"/>
      <w:r>
        <w:drawing>
          <wp:inline>
            <wp:extent cx="5334000" cy="4186846"/>
            <wp:effectExtent b="0" l="0" r="0" t="0"/>
            <wp:docPr descr="Figure 1: Код программы на Modelica" title="" id="24" name="Picture"/>
            <a:graphic>
              <a:graphicData uri="http://schemas.openxmlformats.org/drawingml/2006/picture">
                <pic:pic>
                  <pic:nvPicPr>
                    <pic:cNvPr descr="img/Image137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6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Код программы на Modelica</w:t>
      </w:r>
    </w:p>
    <w:p>
      <w:pPr>
        <w:numPr>
          <w:ilvl w:val="0"/>
          <w:numId w:val="1005"/>
        </w:numPr>
        <w:pStyle w:val="Compact"/>
      </w:pPr>
      <w:r>
        <w:t xml:space="preserve">Запустим ее на исполнение и посмотрим на графики армий из 1-й ситуации (регулярная армия против регулярной,</w:t>
      </w:r>
      <w:r>
        <w:t xml:space="preserve"> </w:t>
      </w:r>
      <w:hyperlink w:anchor="fig:002">
        <w:r>
          <w:rPr>
            <w:rStyle w:val="Hyperlink"/>
          </w:rPr>
          <w:t xml:space="preserve">Рис. 2</w:t>
        </w:r>
      </w:hyperlink>
      <w:r>
        <w:t xml:space="preserve">). Как видим, выиграла первая армия.</w:t>
      </w:r>
    </w:p>
    <w:p>
      <w:pPr>
        <w:pStyle w:val="CaptionedFigure"/>
      </w:pPr>
      <w:bookmarkStart w:id="30" w:name="fig:002"/>
      <w:r>
        <w:drawing>
          <wp:inline>
            <wp:extent cx="5334000" cy="4276715"/>
            <wp:effectExtent b="0" l="0" r="0" t="0"/>
            <wp:docPr descr="Figure 2: Графики для 1-го случая" title="" id="28" name="Picture"/>
            <a:graphic>
              <a:graphicData uri="http://schemas.openxmlformats.org/drawingml/2006/picture">
                <pic:pic>
                  <pic:nvPicPr>
                    <pic:cNvPr descr="img/Image137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6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Графики для 1-го случая</w:t>
      </w:r>
    </w:p>
    <w:p>
      <w:pPr>
        <w:numPr>
          <w:ilvl w:val="0"/>
          <w:numId w:val="1006"/>
        </w:numPr>
        <w:pStyle w:val="Compact"/>
      </w:pPr>
      <w:r>
        <w:t xml:space="preserve">Теперь посмотрим на графики армий из 2-й ситуации (регулярная армия против партизанской,</w:t>
      </w:r>
      <w:r>
        <w:t xml:space="preserve"> </w:t>
      </w:r>
      <w:hyperlink w:anchor="fig:003">
        <w:r>
          <w:rPr>
            <w:rStyle w:val="Hyperlink"/>
          </w:rPr>
          <w:t xml:space="preserve">Рис. 3</w:t>
        </w:r>
      </w:hyperlink>
      <w:r>
        <w:t xml:space="preserve">). Как видим, выиграла первая армия.</w:t>
      </w:r>
    </w:p>
    <w:p>
      <w:pPr>
        <w:pStyle w:val="CaptionedFigure"/>
      </w:pPr>
      <w:bookmarkStart w:id="34" w:name="fig:003"/>
      <w:r>
        <w:drawing>
          <wp:inline>
            <wp:extent cx="5334000" cy="4031078"/>
            <wp:effectExtent b="0" l="0" r="0" t="0"/>
            <wp:docPr descr="Figure 3: Графики для 2-го случая" title="" id="32" name="Picture"/>
            <a:graphic>
              <a:graphicData uri="http://schemas.openxmlformats.org/drawingml/2006/picture">
                <pic:pic>
                  <pic:nvPicPr>
                    <pic:cNvPr descr="img/Image137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1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Графики для 2-го случая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мы написали модель боевых действий в OpenModelica.</w:t>
      </w:r>
    </w:p>
    <w:bookmarkEnd w:id="36"/>
    <w:bookmarkStart w:id="39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p>
      <w:pPr>
        <w:numPr>
          <w:ilvl w:val="0"/>
          <w:numId w:val="1007"/>
        </w:numPr>
        <w:pStyle w:val="Compact"/>
      </w:pPr>
      <w:r>
        <w:t xml:space="preserve">OpenModelica User’s Guide. URL:</w:t>
      </w:r>
      <w:r>
        <w:t xml:space="preserve"> </w:t>
      </w:r>
      <w:hyperlink r:id="rId37">
        <w:r>
          <w:rPr>
            <w:rStyle w:val="Hyperlink"/>
          </w:rPr>
          <w:t xml:space="preserve">https://www.openmodelica.org/doc/OpenModelicaUsersGuide/latest/</w:t>
        </w:r>
      </w:hyperlink>
    </w:p>
    <w:p>
      <w:pPr>
        <w:numPr>
          <w:ilvl w:val="0"/>
          <w:numId w:val="1007"/>
        </w:numPr>
        <w:pStyle w:val="Compact"/>
      </w:pPr>
      <w:r>
        <w:t xml:space="preserve">Лабораторная работа №3. - 4 с. URL:</w:t>
      </w:r>
      <w:r>
        <w:t xml:space="preserve"> </w:t>
      </w:r>
      <w:hyperlink r:id="rId38">
        <w:r>
          <w:rPr>
            <w:rStyle w:val="Hyperlink"/>
          </w:rPr>
          <w:t xml:space="preserve">https://esystem.rudn.ru/mod/resource/view.php?id=831111</w:t>
        </w:r>
      </w:hyperlink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hyperlink" Id="rId38" Target="https://esystem.rudn.ru/mod/resource/view.php?id=831111" TargetMode="External" /><Relationship Type="http://schemas.openxmlformats.org/officeDocument/2006/relationships/hyperlink" Id="rId37" Target="https://www.openmodelica.org/doc/OpenModelicaUsersGuide/lates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esystem.rudn.ru/mod/resource/view.php?id=831111" TargetMode="External" /><Relationship Type="http://schemas.openxmlformats.org/officeDocument/2006/relationships/hyperlink" Id="rId37" Target="https://www.openmodelica.org/doc/OpenModelicaUsersGuide/lates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Тимур Дмитриевич Калинин</dc:creator>
  <dc:language>ru-RU</dc:language>
  <cp:keywords/>
  <dcterms:created xsi:type="dcterms:W3CDTF">2022-02-25T09:28:48Z</dcterms:created>
  <dcterms:modified xsi:type="dcterms:W3CDTF">2022-02-25T09:28:48Z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True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">
    <vt:lpwstr>False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True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Модель ведения боевых действий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