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Калинин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фазовый портрет модели гармонических колебаний в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31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случаев: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17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1.7</m:t>
        </m:r>
        <m:r>
          <m:t>x</m:t>
        </m:r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3.6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t>0.6</m:t>
        </m:r>
        <m:r>
          <m:rPr>
            <m:sty m:val="p"/>
          </m:rPr>
          <m:t>cos</m:t>
        </m:r>
        <m:r>
          <m:t>3</m:t>
        </m:r>
        <m:r>
          <m:t>t</m:t>
        </m:r>
      </m:oMath>
      <w:r>
        <w:t xml:space="preserve">.</w:t>
      </w:r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66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0.7</m:t>
        </m:r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</w:t>
      </w:r>
      <w:r>
        <w:t xml:space="preserve"> </w:t>
      </w:r>
      <w:r>
        <w:t xml:space="preserve">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</w:p>
    <w:p>
      <w:pPr>
        <w:pStyle w:val="BodyText"/>
      </w:pP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p>
            <m:e>
              <m:sSub>
                <m:e>
                  <m:r>
                    <m:t>ω</m:t>
                  </m:r>
                </m:e>
                <m:sub>
                  <m:r>
                    <m:t>0</m:t>
                  </m:r>
                </m:sub>
              </m:sSub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–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собственная частота колебаний,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– время.</w:t>
      </w:r>
    </w:p>
    <w:p>
      <w:pPr>
        <w:pStyle w:val="BodyText"/>
      </w:pPr>
      <w:r>
        <w:t xml:space="preserve">При отсутствии потерь в системе (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) получаем</w:t>
      </w:r>
      <w:r>
        <w:t xml:space="preserve"> </w:t>
      </w:r>
      <w:r>
        <w:t xml:space="preserve">уравнение консервативного осциллятора,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p>
            <m:e>
              <m:sSub>
                <m:e>
                  <m:r>
                    <m:t>ω</m:t>
                  </m:r>
                </m:e>
                <m:sub>
                  <m:r>
                    <m:t>0</m:t>
                  </m:r>
                </m:sub>
              </m:sSub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sSub>
                          <m:e>
                            <m:r>
                              <m:t>ω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  <m:sup>
                        <m:r>
                          <m:t>2</m:t>
                        </m:r>
                      </m:sup>
                    </m:s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</w:p>
    <w:p>
      <w:pPr>
        <w:pStyle w:val="BodyText"/>
      </w:pP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Напишем код программы (</w:t>
      </w:r>
      <w:hyperlink w:anchor="fig:001">
        <w:r>
          <w:rPr>
            <w:rStyle w:val="Hyperlink"/>
          </w:rPr>
          <w:t xml:space="preserve">Рис. 1</w:t>
        </w:r>
      </w:hyperlink>
      <w:r>
        <w:t xml:space="preserve">). Данная программа моделирует все три случая. Задаются параметры gamma и omega для соответствующих уравнений, переменные, начальные условия и сами уравнения. Зададим параметры симуляции (</w:t>
      </w:r>
      <w:hyperlink w:anchor="fig:002">
        <w:r>
          <w:rPr>
            <w:rStyle w:val="Hyperlink"/>
          </w:rPr>
          <w:t xml:space="preserve">Рис. 2</w:t>
        </w:r>
      </w:hyperlink>
      <w:r>
        <w:t xml:space="preserve">).</w:t>
      </w:r>
    </w:p>
    <w:p>
      <w:pPr>
        <w:pStyle w:val="CaptionedFigure"/>
      </w:pPr>
      <w:bookmarkStart w:id="26" w:name="fig:001"/>
      <w:r>
        <w:drawing>
          <wp:inline>
            <wp:extent cx="5334000" cy="3090292"/>
            <wp:effectExtent b="0" l="0" r="0" t="0"/>
            <wp:docPr descr="Figure 1: Код программы" title="" id="24" name="Picture"/>
            <a:graphic>
              <a:graphicData uri="http://schemas.openxmlformats.org/drawingml/2006/picture">
                <pic:pic>
                  <pic:nvPicPr>
                    <pic:cNvPr descr="img\Image%20138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Код программы</w:t>
      </w:r>
    </w:p>
    <w:p>
      <w:pPr>
        <w:pStyle w:val="CaptionedFigure"/>
      </w:pPr>
      <w:bookmarkStart w:id="30" w:name="fig:002"/>
      <w:r>
        <w:drawing>
          <wp:inline>
            <wp:extent cx="5334000" cy="3944154"/>
            <wp:effectExtent b="0" l="0" r="0" t="0"/>
            <wp:docPr descr="Figure 2: Параметры симуляции" title="" id="28" name="Picture"/>
            <a:graphic>
              <a:graphicData uri="http://schemas.openxmlformats.org/drawingml/2006/picture">
                <pic:pic>
                  <pic:nvPicPr>
                    <pic:cNvPr descr="img\Image%201386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Параметры симуляции</w:t>
      </w:r>
    </w:p>
    <w:p>
      <w:pPr>
        <w:numPr>
          <w:ilvl w:val="0"/>
          <w:numId w:val="1003"/>
        </w:numPr>
        <w:pStyle w:val="Compact"/>
      </w:pPr>
      <w:r>
        <w:t xml:space="preserve">Запустим программу на исполнение. Посмотрим фазовый портрет для уравнений (</w:t>
      </w:r>
      <w:hyperlink w:anchor="fig:003">
        <w:r>
          <w:rPr>
            <w:rStyle w:val="Hyperlink"/>
          </w:rPr>
          <w:t xml:space="preserve">Рис. 3</w:t>
        </w:r>
      </w:hyperlink>
      <w:r>
        <w:t xml:space="preserve">,</w:t>
      </w:r>
      <w:r>
        <w:t xml:space="preserve"> </w:t>
      </w:r>
      <w:hyperlink w:anchor="fig:004">
        <w:r>
          <w:rPr>
            <w:rStyle w:val="Hyperlink"/>
          </w:rPr>
          <w:t xml:space="preserve">Рис. 4</w:t>
        </w:r>
      </w:hyperlink>
      <w:r>
        <w:t xml:space="preserve">,</w:t>
      </w:r>
      <w:r>
        <w:t xml:space="preserve"> </w:t>
      </w:r>
      <w:hyperlink w:anchor="fig:005">
        <w:r>
          <w:rPr>
            <w:rStyle w:val="Hyperlink"/>
          </w:rPr>
          <w:t xml:space="preserve">Рис. 5</w:t>
        </w:r>
      </w:hyperlink>
      <w:r>
        <w:t xml:space="preserve">).</w:t>
      </w:r>
    </w:p>
    <w:p>
      <w:pPr>
        <w:pStyle w:val="CaptionedFigure"/>
      </w:pPr>
      <w:bookmarkStart w:id="34" w:name="fig:003"/>
      <w:r>
        <w:drawing>
          <wp:inline>
            <wp:extent cx="5334000" cy="3969794"/>
            <wp:effectExtent b="0" l="0" r="0" t="0"/>
            <wp:docPr descr="Figure 3: 1-й случай" title="" id="32" name="Picture"/>
            <a:graphic>
              <a:graphicData uri="http://schemas.openxmlformats.org/drawingml/2006/picture">
                <pic:pic>
                  <pic:nvPicPr>
                    <pic:cNvPr descr="img\Image%20138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9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1-й случай</w:t>
      </w:r>
    </w:p>
    <w:p>
      <w:pPr>
        <w:pStyle w:val="CaptionedFigure"/>
      </w:pPr>
      <w:bookmarkStart w:id="38" w:name="fig:004"/>
      <w:r>
        <w:drawing>
          <wp:inline>
            <wp:extent cx="5334000" cy="4066297"/>
            <wp:effectExtent b="0" l="0" r="0" t="0"/>
            <wp:docPr descr="Figure 4: 2-й случай" title="" id="36" name="Picture"/>
            <a:graphic>
              <a:graphicData uri="http://schemas.openxmlformats.org/drawingml/2006/picture">
                <pic:pic>
                  <pic:nvPicPr>
                    <pic:cNvPr descr="img\Image%20138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6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2-й случай</w:t>
      </w:r>
    </w:p>
    <w:p>
      <w:pPr>
        <w:pStyle w:val="CaptionedFigure"/>
      </w:pPr>
      <w:bookmarkStart w:id="42" w:name="fig:005"/>
      <w:r>
        <w:drawing>
          <wp:inline>
            <wp:extent cx="5334000" cy="4326000"/>
            <wp:effectExtent b="0" l="0" r="0" t="0"/>
            <wp:docPr descr="Figure 5: 3-й случай" title="" id="40" name="Picture"/>
            <a:graphic>
              <a:graphicData uri="http://schemas.openxmlformats.org/drawingml/2006/picture">
                <pic:pic>
                  <pic:nvPicPr>
                    <pic:cNvPr descr="img\Image%201389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3-й случай</w:t>
      </w:r>
    </w:p>
    <w:bookmarkEnd w:id="43"/>
    <w:bookmarkStart w:id="44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</w:t>
      </w:r>
    </w:p>
    <w:p>
      <w:pPr>
        <w:numPr>
          <w:ilvl w:val="0"/>
          <w:numId w:val="1004"/>
        </w:numPr>
        <w:pStyle w:val="Compact"/>
      </w:pPr>
      <w:r>
        <w:t xml:space="preserve">Запишите простейшую модель гармонических колебаний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p>
            <m:e>
              <m:sSub>
                <m:e>
                  <m:r>
                    <m:t>ω</m:t>
                  </m:r>
                </m:e>
                <m:sub>
                  <m:r>
                    <m:t>0</m:t>
                  </m:r>
                </m:sub>
              </m:sSub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5"/>
        </w:numPr>
        <w:pStyle w:val="Compact"/>
      </w:pPr>
      <w:r>
        <w:t xml:space="preserve">Дайте определение осциллятора</w:t>
      </w:r>
    </w:p>
    <w:p>
      <w:pPr>
        <w:pStyle w:val="FirstParagraph"/>
      </w:pPr>
      <w:r>
        <w:t xml:space="preserve">Осциллятор — система, совершающая колебания, то есть показатели которой периодически повторяются во времени.</w:t>
      </w:r>
    </w:p>
    <w:p>
      <w:pPr>
        <w:numPr>
          <w:ilvl w:val="0"/>
          <w:numId w:val="1006"/>
        </w:numPr>
        <w:pStyle w:val="Compact"/>
      </w:pPr>
      <w:r>
        <w:t xml:space="preserve">Запишите модель математического маятника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p>
            <m:e>
              <m:sSub>
                <m:e>
                  <m:r>
                    <m:t>ω</m:t>
                  </m:r>
                </m:e>
                <m:sub>
                  <m:r>
                    <m:t>0</m:t>
                  </m:r>
                </m:sub>
              </m:sSub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7"/>
        </w:numPr>
        <w:pStyle w:val="Compact"/>
      </w:pPr>
      <w:r>
        <w:t xml:space="preserve">Запишите алгоритм перехода от дифференциального уравнения второго порядка к двум дифференциальным уравнениям первого порядка.</w:t>
      </w:r>
    </w:p>
    <w:p>
      <w:pPr>
        <w:pStyle w:val="FirstParagraph"/>
      </w:pPr>
      <w:r>
        <w:t xml:space="preserve">Нужно произвести замену производной второго порядка на переменную (первое уравнение) и выразить производную этой переменной из изначального уравнения (второе уравнение).</w:t>
      </w:r>
    </w:p>
    <w:p>
      <w:pPr>
        <w:numPr>
          <w:ilvl w:val="0"/>
          <w:numId w:val="1008"/>
        </w:numPr>
        <w:pStyle w:val="Compact"/>
      </w:pPr>
      <w:r>
        <w:t xml:space="preserve">Что такое фазовый портрет и фазовая траектория?</w:t>
      </w:r>
    </w:p>
    <w:p>
      <w:pPr>
        <w:pStyle w:val="FirstParagraph"/>
      </w:pPr>
      <w:r>
        <w:t xml:space="preserve">Фазовый портрет - это геометрическое представление траекторий динамической системы на фазовой плоскости. Каждый набор начальных условий представлен отдельной кривой или точкой.</w:t>
      </w:r>
    </w:p>
    <w:p>
      <w:pPr>
        <w:pStyle w:val="BodyText"/>
      </w:pPr>
      <w:r>
        <w:t xml:space="preserve">Фазовая траектория - гладкая кривая в фазовой плоскости, которая отвечают решению уравнения движения как функции времени.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мы написали модель гармонических колебаний в OpenModelica.</w:t>
      </w:r>
    </w:p>
    <w:bookmarkEnd w:id="45"/>
    <w:bookmarkStart w:id="48" w:name="библиография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Библиография</w:t>
      </w:r>
    </w:p>
    <w:p>
      <w:pPr>
        <w:numPr>
          <w:ilvl w:val="0"/>
          <w:numId w:val="1009"/>
        </w:numPr>
        <w:pStyle w:val="Compact"/>
      </w:pPr>
      <w:r>
        <w:t xml:space="preserve">OpenModelica User’s Guide. URL:</w:t>
      </w:r>
      <w:r>
        <w:t xml:space="preserve"> </w:t>
      </w:r>
      <w:hyperlink r:id="rId46">
        <w:r>
          <w:rPr>
            <w:rStyle w:val="Hyperlink"/>
          </w:rPr>
          <w:t xml:space="preserve">https://www.openmodelica.org/doc/OpenModelicaUsersGuide/latest/</w:t>
        </w:r>
      </w:hyperlink>
    </w:p>
    <w:p>
      <w:pPr>
        <w:numPr>
          <w:ilvl w:val="0"/>
          <w:numId w:val="1009"/>
        </w:numPr>
        <w:pStyle w:val="Compact"/>
      </w:pPr>
      <w:r>
        <w:t xml:space="preserve">Лабораторная работа №4. - 4 с. URL:</w:t>
      </w:r>
      <w:r>
        <w:t xml:space="preserve"> </w:t>
      </w:r>
      <w:hyperlink r:id="rId47">
        <w:r>
          <w:rPr>
            <w:rStyle w:val="Hyperlink"/>
          </w:rPr>
          <w:t xml:space="preserve">https://esystem.rudn.ru/mod/resource/view.php?id=831115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7" Target="https://esystem.rudn.ru/mod/resource/view.php?id=831115" TargetMode="External" /><Relationship Type="http://schemas.openxmlformats.org/officeDocument/2006/relationships/hyperlink" Id="rId46" Target="https://www.openmodelica.org/doc/OpenModelicaUsersGuide/lates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esystem.rudn.ru/mod/resource/view.php?id=831115" TargetMode="External" /><Relationship Type="http://schemas.openxmlformats.org/officeDocument/2006/relationships/hyperlink" Id="rId46" Target="https://www.openmodelica.org/doc/OpenModelicaUsersGuide/lates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Тимур Дмитриевич Калинин</dc:creator>
  <dc:language>ru-RU</dc:language>
  <cp:keywords/>
  <dcterms:created xsi:type="dcterms:W3CDTF">2022-03-04T12:13:09Z</dcterms:created>
  <dcterms:modified xsi:type="dcterms:W3CDTF">2022-03-04T12:13:09Z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True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False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True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Модель гармонических колебаний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