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Калинин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эпидемии в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31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11</m:t>
        </m:r>
        <m:r>
          <m:t>800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280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51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Постройте графики изменения числа особей в каждой из трех групп. Рассмотрите, как будет протекать эпидемия в случае:</w:t>
      </w:r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</w:t>
      </w:r>
      <w:r>
        <w:t xml:space="preserve"> </w:t>
      </w:r>
      <w:r>
        <w:t xml:space="preserve">пока здоровые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</w:t>
      </w:r>
      <w:r>
        <w:t xml:space="preserve"> </w:t>
      </w:r>
      <w:r>
        <w:t xml:space="preserve">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 I^</w:t>
      </w:r>
      <w:r>
        <w:rPr>
          <w:iCs/>
          <w:i/>
        </w:rPr>
        <w:t xml:space="preserve">, считаем, что все больные изолированы и не заражают здоровых. Когда I(t) &gt; I^</w:t>
      </w:r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Напишем код программы (</w:t>
      </w:r>
      <w:hyperlink w:anchor="fig:001">
        <w:r>
          <w:rPr>
            <w:rStyle w:val="Hyperlink"/>
          </w:rPr>
          <w:t xml:space="preserve">Рис. 1</w:t>
        </w:r>
      </w:hyperlink>
      <w:r>
        <w:t xml:space="preserve">). Программа моделирует сразу оба случая. За первый случай отвечают переменные I, R, S, за второй - I2, R2, S2. Зададим параметры симуляции (</w:t>
      </w:r>
      <w:hyperlink w:anchor="fig:002">
        <w:r>
          <w:rPr>
            <w:rStyle w:val="Hyperlink"/>
          </w:rPr>
          <w:t xml:space="preserve">Рис. 2</w:t>
        </w:r>
      </w:hyperlink>
      <w:r>
        <w:t xml:space="preserve">).</w:t>
      </w:r>
    </w:p>
    <w:p>
      <w:pPr>
        <w:pStyle w:val="CaptionedFigure"/>
      </w:pPr>
      <w:bookmarkStart w:id="26" w:name="fig:001"/>
      <w:r>
        <w:drawing>
          <wp:inline>
            <wp:extent cx="5334000" cy="3698361"/>
            <wp:effectExtent b="0" l="0" r="0" t="0"/>
            <wp:docPr descr="Figure 1: Код программы" title="" id="24" name="Picture"/>
            <a:graphic>
              <a:graphicData uri="http://schemas.openxmlformats.org/drawingml/2006/picture">
                <pic:pic>
                  <pic:nvPicPr>
                    <pic:cNvPr descr="../img/img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8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Код программы</w:t>
      </w:r>
    </w:p>
    <w:p>
      <w:pPr>
        <w:pStyle w:val="CaptionedFigure"/>
      </w:pPr>
      <w:bookmarkStart w:id="30" w:name="fig:002"/>
      <w:r>
        <w:drawing>
          <wp:inline>
            <wp:extent cx="5334000" cy="3925885"/>
            <wp:effectExtent b="0" l="0" r="0" t="0"/>
            <wp:docPr descr="Figure 2: Параметры симуляции" title="" id="28" name="Picture"/>
            <a:graphic>
              <a:graphicData uri="http://schemas.openxmlformats.org/drawingml/2006/picture">
                <pic:pic>
                  <pic:nvPicPr>
                    <pic:cNvPr descr="../img/img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5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Параметры симуляции</w:t>
      </w:r>
    </w:p>
    <w:p>
      <w:pPr>
        <w:numPr>
          <w:ilvl w:val="0"/>
          <w:numId w:val="1003"/>
        </w:numPr>
        <w:pStyle w:val="Compact"/>
      </w:pPr>
      <w:r>
        <w:t xml:space="preserve">Запустим программу на исполнение. Посмотрим на графики числа особей для первого случая (</w:t>
      </w:r>
      <w:hyperlink w:anchor="fig:003">
        <w:r>
          <w:rPr>
            <w:rStyle w:val="Hyperlink"/>
          </w:rPr>
          <w:t xml:space="preserve">Рис. 3</w:t>
        </w:r>
      </w:hyperlink>
      <w:r>
        <w:t xml:space="preserve">). Как видим, число здоровых особей остается константным. Можно также посмотреть на график без этой константы (</w:t>
      </w:r>
      <w:hyperlink w:anchor="fig:004">
        <w:r>
          <w:rPr>
            <w:rStyle w:val="Hyperlink"/>
          </w:rPr>
          <w:t xml:space="preserve">Рис. 4</w:t>
        </w:r>
      </w:hyperlink>
      <w:r>
        <w:t xml:space="preserve">). Видим, что количество заболевших уменьшается, а количество выздоровевших увеличивается.</w:t>
      </w:r>
    </w:p>
    <w:p>
      <w:pPr>
        <w:pStyle w:val="CaptionedFigure"/>
      </w:pPr>
      <w:bookmarkStart w:id="34" w:name="fig:003"/>
      <w:r>
        <w:drawing>
          <wp:inline>
            <wp:extent cx="5334000" cy="4089876"/>
            <wp:effectExtent b="0" l="0" r="0" t="0"/>
            <wp:docPr descr="Figure 3: Графики для первого случая" title="" id="32" name="Picture"/>
            <a:graphic>
              <a:graphicData uri="http://schemas.openxmlformats.org/drawingml/2006/picture">
                <pic:pic>
                  <pic:nvPicPr>
                    <pic:cNvPr descr="../img/img_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9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Графики для первого случая</w:t>
      </w:r>
    </w:p>
    <w:p>
      <w:pPr>
        <w:pStyle w:val="CaptionedFigure"/>
      </w:pPr>
      <w:bookmarkStart w:id="38" w:name="fig:004"/>
      <w:r>
        <w:drawing>
          <wp:inline>
            <wp:extent cx="5334000" cy="4120748"/>
            <wp:effectExtent b="0" l="0" r="0" t="0"/>
            <wp:docPr descr="Figure 4: Графики числа выздоровевших и заболевших особей" title="" id="36" name="Picture"/>
            <a:graphic>
              <a:graphicData uri="http://schemas.openxmlformats.org/drawingml/2006/picture">
                <pic:pic>
                  <pic:nvPicPr>
                    <pic:cNvPr descr="../img/img_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0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Графики числа выздоровевших и заболевших особей</w:t>
      </w:r>
    </w:p>
    <w:p>
      <w:pPr>
        <w:numPr>
          <w:ilvl w:val="0"/>
          <w:numId w:val="1004"/>
        </w:numPr>
        <w:pStyle w:val="Compact"/>
      </w:pPr>
      <w:r>
        <w:t xml:space="preserve">Посмотрим на графики для второго случая (</w:t>
      </w:r>
      <w:hyperlink w:anchor="fig:005">
        <w:r>
          <w:rPr>
            <w:rStyle w:val="Hyperlink"/>
          </w:rPr>
          <w:t xml:space="preserve">Рис. 5</w:t>
        </w:r>
      </w:hyperlink>
      <w:r>
        <w:t xml:space="preserve">).</w:t>
      </w:r>
    </w:p>
    <w:p>
      <w:pPr>
        <w:pStyle w:val="CaptionedFigure"/>
      </w:pPr>
      <w:bookmarkStart w:id="42" w:name="fig:005"/>
      <w:r>
        <w:drawing>
          <wp:inline>
            <wp:extent cx="5334000" cy="4127244"/>
            <wp:effectExtent b="0" l="0" r="0" t="0"/>
            <wp:docPr descr="Figure 5: Графики для второго случая" title="" id="40" name="Picture"/>
            <a:graphic>
              <a:graphicData uri="http://schemas.openxmlformats.org/drawingml/2006/picture">
                <pic:pic>
                  <pic:nvPicPr>
                    <pic:cNvPr descr="../img/img_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7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Графики для второго случая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мы познакомились с моделью эпидемии и написали ее реализацию в OpenModelica.</w:t>
      </w:r>
    </w:p>
    <w:bookmarkEnd w:id="44"/>
    <w:bookmarkStart w:id="47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numPr>
          <w:ilvl w:val="0"/>
          <w:numId w:val="1005"/>
        </w:numPr>
        <w:pStyle w:val="Compact"/>
      </w:pPr>
      <w:r>
        <w:t xml:space="preserve">OpenModelica User’s Guide. URL:</w:t>
      </w:r>
      <w:r>
        <w:t xml:space="preserve"> </w:t>
      </w:r>
      <w:hyperlink r:id="rId45">
        <w:r>
          <w:rPr>
            <w:rStyle w:val="Hyperlink"/>
          </w:rPr>
          <w:t xml:space="preserve">https://www.openmodelica.org/doc/OpenModelicaUsersGuide/latest/</w:t>
        </w:r>
      </w:hyperlink>
    </w:p>
    <w:p>
      <w:pPr>
        <w:numPr>
          <w:ilvl w:val="0"/>
          <w:numId w:val="1005"/>
        </w:numPr>
        <w:pStyle w:val="Compact"/>
      </w:pPr>
      <w:r>
        <w:t xml:space="preserve">Лабораторная работа №6. - 4 с. URL:</w:t>
      </w:r>
      <w:r>
        <w:t xml:space="preserve"> </w:t>
      </w:r>
      <w:hyperlink r:id="rId46">
        <w:r>
          <w:rPr>
            <w:rStyle w:val="Hyperlink"/>
          </w:rPr>
          <w:t xml:space="preserve">https://esystem.rudn.ru/mod/resource/view.php?id=831123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46" Target="https://esystem.rudn.ru/mod/resource/view.php?id=831123" TargetMode="External" /><Relationship Type="http://schemas.openxmlformats.org/officeDocument/2006/relationships/hyperlink" Id="rId45" Target="https://www.openmodelica.org/doc/OpenModelicaUsersGuide/lates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esystem.rudn.ru/mod/resource/view.php?id=831123" TargetMode="External" /><Relationship Type="http://schemas.openxmlformats.org/officeDocument/2006/relationships/hyperlink" Id="rId45" Target="https://www.openmodelica.org/doc/OpenModelicaUsersGuide/lates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Тимур Дмитриевич Калинин</dc:creator>
  <dc:language>ru-RU</dc:language>
  <cp:keywords/>
  <dcterms:created xsi:type="dcterms:W3CDTF">2022-03-18T12:24:20Z</dcterms:created>
  <dcterms:modified xsi:type="dcterms:W3CDTF">2022-03-18T12:24:20Z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True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False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True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Модель эпидемии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