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Калинин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конкуренции двух фирм в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32</w:t>
      </w:r>
    </w:p>
    <w:p>
      <w:pPr>
        <w:pStyle w:val="BodyText"/>
      </w:pPr>
      <w:r>
        <w:t xml:space="preserve">Случай 1. 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=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den>
        </m:f>
      </m:oMath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2. 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0.00033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конкуренция-одной-фирм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Конкуренция одной фирмы</w:t>
      </w:r>
    </w:p>
    <w:p>
      <w:pPr>
        <w:pStyle w:val="FirstParagraph"/>
      </w:pPr>
      <w:r>
        <w:t xml:space="preserve">Для построения модели конкуренции хотя бы двух фирм необходимо</w:t>
      </w:r>
      <w:r>
        <w:t xml:space="preserve"> </w:t>
      </w:r>
      <w:r>
        <w:t xml:space="preserve">рассмотреть модель одной фирмы. Вначале рассмотрим модель фирмы,</w:t>
      </w:r>
      <w:r>
        <w:t xml:space="preserve"> </w:t>
      </w:r>
      <w:r>
        <w:t xml:space="preserve">производящей продукт долговременного пользования, когда цена его определяется</w:t>
      </w:r>
      <w:r>
        <w:t xml:space="preserve"> </w:t>
      </w:r>
      <w:r>
        <w:t xml:space="preserve">балансом спроса и предложения. Примем, что этот продукт занимает</w:t>
      </w:r>
      <w:r>
        <w:t xml:space="preserve"> </w:t>
      </w:r>
      <w:r>
        <w:t xml:space="preserve">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</w:t>
      </w:r>
      <w:r>
        <w:t xml:space="preserve"> </w:t>
      </w:r>
      <w:r>
        <w:t xml:space="preserve">потребителей одинаковы. Это предположение справедливо, если речь идет об</w:t>
      </w:r>
      <w:r>
        <w:t xml:space="preserve"> </w:t>
      </w:r>
      <w:r>
        <w:t xml:space="preserve">одной рыночной нише, т.е. производимый продукт ориентирован на определенный</w:t>
      </w:r>
      <w:r>
        <w:t xml:space="preserve"> </w:t>
      </w:r>
      <w:r>
        <w:t xml:space="preserve">слой населения.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– рыночная цена товара</w:t>
      </w:r>
      <w:r>
        <w:t xml:space="preserve"> </w:t>
      </w: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</w:t>
      </w:r>
      <w:r>
        <w:t xml:space="preserve"> </w:t>
      </w:r>
      <w:r>
        <w:t xml:space="preserve">единицы продукции.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  <w:r>
        <w:t xml:space="preserve"> </w:t>
      </w: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</w:t>
      </w:r>
      <w:r>
        <w:t xml:space="preserve"> </w:t>
      </w:r>
      <w:r>
        <w:t xml:space="preserve">продукции.</w:t>
      </w:r>
    </w:p>
    <w:p>
      <w:pPr>
        <w:pStyle w:val="BodyText"/>
      </w:pPr>
      <w:r>
        <w:t xml:space="preserve">В конечном итоге уравнение динамики оборотных средств примет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M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num>
                <m:den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t>N</m:t>
              </m:r>
              <m:r>
                <m:t>q</m:t>
              </m:r>
            </m:num>
            <m:den>
              <m:r>
                <m:rPr>
                  <m:sty m:val="p"/>
                </m:rPr>
                <m:t>−</m:t>
              </m:r>
            </m:den>
          </m:f>
          <m:r>
            <m:t>κ</m:t>
          </m:r>
        </m:oMath>
      </m:oMathPara>
    </w:p>
    <w:bookmarkEnd w:id="22"/>
    <w:bookmarkStart w:id="23" w:name="конкуренция-двух-фирм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Конкуренция двух фирм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 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</w:t>
      </w:r>
    </w:p>
    <w:p>
      <w:pPr>
        <w:pStyle w:val="BodyText"/>
      </w:pPr>
      <w:r>
        <w:t xml:space="preserve">Проведя аналогичные рассуждения и условившись, что постоянными издержками можно пренебречь, а также введя нормировку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 </w:t>
      </w:r>
      <w:r>
        <w:t xml:space="preserve">получим систему: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den>
        </m:f>
      </m:oMath>
    </w:p>
    <w:p>
      <w:pPr>
        <w:pStyle w:val="BodyText"/>
      </w:pPr>
      <w:r>
        <w:t xml:space="preserve">Чтобы решить такую систему необходимо знать начальные условия.</w:t>
      </w:r>
    </w:p>
    <w:p>
      <w:pPr>
        <w:pStyle w:val="BodyText"/>
      </w:pPr>
      <w:r>
        <w:t xml:space="preserve">Теперь рассмотрим второй случай. 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</w:t>
      </w:r>
    </w:p>
    <w:p>
      <w:pPr>
        <w:pStyle w:val="BodyText"/>
      </w:pPr>
      <w:r>
        <w:t xml:space="preserve">Такая модель может выглядеть, к примеру, так: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0.002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bookmarkEnd w:id="23"/>
    <w:bookmarkEnd w:id="24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Напишем код программы для первого случая (</w:t>
      </w:r>
      <w:hyperlink w:anchor="fig:001">
        <w:r>
          <w:rPr>
            <w:rStyle w:val="Hyperlink"/>
          </w:rPr>
          <w:t xml:space="preserve">Рис. 1</w:t>
        </w:r>
      </w:hyperlink>
      <w:r>
        <w:t xml:space="preserve">). Зададим параметры симуляции (</w:t>
      </w:r>
      <w:hyperlink w:anchor="fig:002">
        <w:r>
          <w:rPr>
            <w:rStyle w:val="Hyperlink"/>
          </w:rPr>
          <w:t xml:space="preserve">Рис. 2</w:t>
        </w:r>
      </w:hyperlink>
      <w:r>
        <w:t xml:space="preserve">).</w:t>
      </w:r>
    </w:p>
    <w:p>
      <w:pPr>
        <w:pStyle w:val="CaptionedFigure"/>
      </w:pPr>
      <w:bookmarkStart w:id="28" w:name="fig:001"/>
      <w:r>
        <w:drawing>
          <wp:inline>
            <wp:extent cx="5334000" cy="1895498"/>
            <wp:effectExtent b="0" l="0" r="0" t="0"/>
            <wp:docPr descr="Figure 1: Код программы" title="" id="26" name="Picture"/>
            <a:graphic>
              <a:graphicData uri="http://schemas.openxmlformats.org/drawingml/2006/picture">
                <pic:pic>
                  <pic:nvPicPr>
                    <pic:cNvPr descr="../img/img_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5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Код программы</w:t>
      </w:r>
    </w:p>
    <w:p>
      <w:pPr>
        <w:pStyle w:val="CaptionedFigure"/>
      </w:pPr>
      <w:bookmarkStart w:id="32" w:name="fig:002"/>
      <w:r>
        <w:drawing>
          <wp:inline>
            <wp:extent cx="5334000" cy="3755970"/>
            <wp:effectExtent b="0" l="0" r="0" t="0"/>
            <wp:docPr descr="Figure 2: Параметры симуляции" title="" id="30" name="Picture"/>
            <a:graphic>
              <a:graphicData uri="http://schemas.openxmlformats.org/drawingml/2006/picture">
                <pic:pic>
                  <pic:nvPicPr>
                    <pic:cNvPr descr="../img/img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Параметры симуляции</w:t>
      </w:r>
    </w:p>
    <w:p>
      <w:pPr>
        <w:numPr>
          <w:ilvl w:val="0"/>
          <w:numId w:val="1002"/>
        </w:numPr>
        <w:pStyle w:val="Compact"/>
      </w:pPr>
      <w:r>
        <w:t xml:space="preserve">Запустим программу на исполнение. Посмотрим на графики измнения объема продаж (</w:t>
      </w:r>
      <w:hyperlink w:anchor="fig:003">
        <w:r>
          <w:rPr>
            <w:rStyle w:val="Hyperlink"/>
          </w:rPr>
          <w:t xml:space="preserve">Рис. 3</w:t>
        </w:r>
      </w:hyperlink>
      <w:r>
        <w:t xml:space="preserve">). Как видим, оба графика имеют одинаковую форму, но быстрее растет первая фирма.</w:t>
      </w:r>
    </w:p>
    <w:p>
      <w:pPr>
        <w:pStyle w:val="CaptionedFigure"/>
      </w:pPr>
      <w:bookmarkStart w:id="36" w:name="fig:003"/>
      <w:r>
        <w:drawing>
          <wp:inline>
            <wp:extent cx="5334000" cy="4685528"/>
            <wp:effectExtent b="0" l="0" r="0" t="0"/>
            <wp:docPr descr="Figure 3: Графики изменения оборотных средств фирм" title="" id="34" name="Picture"/>
            <a:graphic>
              <a:graphicData uri="http://schemas.openxmlformats.org/drawingml/2006/picture">
                <pic:pic>
                  <pic:nvPicPr>
                    <pic:cNvPr descr="../img/img_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5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Графики изменения оборотных средств фирм</w:t>
      </w:r>
    </w:p>
    <w:p>
      <w:pPr>
        <w:numPr>
          <w:ilvl w:val="0"/>
          <w:numId w:val="1003"/>
        </w:numPr>
        <w:pStyle w:val="Compact"/>
      </w:pPr>
      <w:r>
        <w:t xml:space="preserve">Напишем аналогичную программу для второго случая. (</w:t>
      </w:r>
      <w:hyperlink w:anchor="fig:004">
        <w:r>
          <w:rPr>
            <w:rStyle w:val="Hyperlink"/>
          </w:rPr>
          <w:t xml:space="preserve">Рис. 4</w:t>
        </w:r>
      </w:hyperlink>
      <w:r>
        <w:t xml:space="preserve">). Запустим ее с такими параметрами симуляции и посмотрим на графики изменения объема продаж (</w:t>
      </w:r>
      <w:hyperlink w:anchor="fig:005">
        <w:r>
          <w:rPr>
            <w:rStyle w:val="Hyperlink"/>
          </w:rPr>
          <w:t xml:space="preserve">Рис. 5</w:t>
        </w:r>
      </w:hyperlink>
      <w:r>
        <w:t xml:space="preserve">). Как видим, теперь вторая фирма растет, однако со временем достигает своего максимума, после чего оборотные средства начинают падать, пока в конце концов не становятся равными нулю.</w:t>
      </w:r>
    </w:p>
    <w:p>
      <w:pPr>
        <w:pStyle w:val="CaptionedFigure"/>
      </w:pPr>
      <w:bookmarkStart w:id="40" w:name="fig:004"/>
      <w:r>
        <w:drawing>
          <wp:inline>
            <wp:extent cx="5334000" cy="1780119"/>
            <wp:effectExtent b="0" l="0" r="0" t="0"/>
            <wp:docPr descr="Figure 4: Код программы для второго случая" title="" id="38" name="Picture"/>
            <a:graphic>
              <a:graphicData uri="http://schemas.openxmlformats.org/drawingml/2006/picture">
                <pic:pic>
                  <pic:nvPicPr>
                    <pic:cNvPr descr="../img/img_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0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Код программы для второго случая</w:t>
      </w:r>
    </w:p>
    <w:p>
      <w:pPr>
        <w:pStyle w:val="CaptionedFigure"/>
      </w:pPr>
      <w:bookmarkStart w:id="44" w:name="fig:005"/>
      <w:r>
        <w:drawing>
          <wp:inline>
            <wp:extent cx="5334000" cy="4689581"/>
            <wp:effectExtent b="0" l="0" r="0" t="0"/>
            <wp:docPr descr="Figure 5: Графики для второго случая" title="" id="42" name="Picture"/>
            <a:graphic>
              <a:graphicData uri="http://schemas.openxmlformats.org/drawingml/2006/picture">
                <pic:pic>
                  <pic:nvPicPr>
                    <pic:cNvPr descr="../img/img_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9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Графики для второго случая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мы познакомились с моделью конкуренции двух фирм и написали ее реализацию в OpenModelica.</w:t>
      </w:r>
    </w:p>
    <w:bookmarkEnd w:id="46"/>
    <w:bookmarkStart w:id="49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04"/>
        </w:numPr>
        <w:pStyle w:val="Compact"/>
      </w:pPr>
      <w:r>
        <w:t xml:space="preserve">OpenModelica User’s Guide. URL:</w:t>
      </w:r>
      <w:r>
        <w:t xml:space="preserve"> </w:t>
      </w:r>
      <w:hyperlink r:id="rId47">
        <w:r>
          <w:rPr>
            <w:rStyle w:val="Hyperlink"/>
          </w:rPr>
          <w:t xml:space="preserve">https://www.openmodelica.org/doc/OpenModelicaUsersGuide/latest/</w:t>
        </w:r>
      </w:hyperlink>
    </w:p>
    <w:p>
      <w:pPr>
        <w:numPr>
          <w:ilvl w:val="0"/>
          <w:numId w:val="1004"/>
        </w:numPr>
        <w:pStyle w:val="Compact"/>
      </w:pPr>
      <w:r>
        <w:t xml:space="preserve">Лабораторная работа №8. - 4 с. URL:</w:t>
      </w:r>
      <w:r>
        <w:t xml:space="preserve"> </w:t>
      </w:r>
      <w:hyperlink r:id="rId48">
        <w:r>
          <w:rPr>
            <w:rStyle w:val="Hyperlink"/>
          </w:rPr>
          <w:t xml:space="preserve">https://esystem.rudn.ru/mod/resource/view.php?id=831131</w:t>
        </w:r>
      </w:hyperlink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hyperlink" Id="rId48" Target="https://esystem.rudn.ru/mod/resource/view.php?id=831131" TargetMode="External" /><Relationship Type="http://schemas.openxmlformats.org/officeDocument/2006/relationships/hyperlink" Id="rId47" Target="https://www.openmodelica.org/doc/OpenModelicaUsersGuide/lates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esystem.rudn.ru/mod/resource/view.php?id=831131" TargetMode="External" /><Relationship Type="http://schemas.openxmlformats.org/officeDocument/2006/relationships/hyperlink" Id="rId47" Target="https://www.openmodelica.org/doc/OpenModelicaUsersGuide/lates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Тимур Дмитриевич Калинин</dc:creator>
  <dc:language>ru-RU</dc:language>
  <cp:keywords/>
  <dcterms:created xsi:type="dcterms:W3CDTF">2022-04-02T09:43:05Z</dcterms:created>
  <dcterms:modified xsi:type="dcterms:W3CDTF">2022-04-02T09:43:05Z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True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False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True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Модель конкуренции двух фирм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